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E7" w:rsidRPr="00F50DE0" w:rsidRDefault="008123E7" w:rsidP="00F50DE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proofErr w:type="gramStart"/>
      <w:r w:rsidRPr="00F50DE0">
        <w:rPr>
          <w:rFonts w:asciiTheme="majorHAnsi" w:hAnsiTheme="majorHAnsi" w:cstheme="majorHAnsi"/>
          <w:b/>
          <w:bCs/>
          <w:sz w:val="32"/>
          <w:szCs w:val="32"/>
        </w:rPr>
        <w:t>iWell</w:t>
      </w:r>
      <w:proofErr w:type="gramEnd"/>
      <w:r w:rsidRPr="00F50DE0">
        <w:rPr>
          <w:rFonts w:asciiTheme="majorHAnsi" w:hAnsiTheme="majorHAnsi" w:cstheme="majorHAnsi"/>
          <w:b/>
          <w:bCs/>
          <w:sz w:val="32"/>
          <w:szCs w:val="32"/>
        </w:rPr>
        <w:t xml:space="preserve"> – Enhancing the Digital and Social Well-being in Schools</w:t>
      </w:r>
    </w:p>
    <w:p w:rsidR="00F50DE0" w:rsidRPr="00F50DE0" w:rsidRDefault="00F50DE0" w:rsidP="00F50DE0">
      <w:pPr>
        <w:spacing w:after="0" w:line="240" w:lineRule="auto"/>
        <w:jc w:val="center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F50DE0">
        <w:rPr>
          <w:rFonts w:asciiTheme="majorHAnsi" w:eastAsia="Calibri" w:hAnsiTheme="majorHAnsi" w:cstheme="majorHAnsi"/>
          <w:sz w:val="24"/>
          <w:szCs w:val="24"/>
          <w:lang w:val="en-GB"/>
        </w:rPr>
        <w:t>[PROJECT NUMBER: 2020-1-BG01-KA201-079041]</w:t>
      </w:r>
    </w:p>
    <w:p w:rsidR="00F50DE0" w:rsidRPr="00F50DE0" w:rsidRDefault="00F50DE0" w:rsidP="00F50DE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:rsidR="008123E7" w:rsidRPr="00F50DE0" w:rsidRDefault="006A7B12" w:rsidP="006A7B12">
      <w:pPr>
        <w:spacing w:after="0" w:line="240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Newsletter 3</w:t>
      </w: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7560"/>
        <w:gridCol w:w="4230"/>
      </w:tblGrid>
      <w:tr w:rsidR="008F49C4" w:rsidRPr="008123E7" w:rsidTr="006840BD">
        <w:tc>
          <w:tcPr>
            <w:tcW w:w="7560" w:type="dxa"/>
            <w:vMerge w:val="restart"/>
          </w:tcPr>
          <w:p w:rsidR="008440CB" w:rsidRPr="00C55E73" w:rsidRDefault="00C55E73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>iWell</w:t>
            </w:r>
            <w:proofErr w:type="spellEnd"/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8440CB"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>TMP, 4</w:t>
            </w:r>
            <w:r w:rsidR="008440CB" w:rsidRPr="00C55E73"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</w:rPr>
              <w:t>th</w:t>
            </w:r>
            <w:r w:rsidR="008440CB"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July 2022, Athens, KMOP</w:t>
            </w:r>
          </w:p>
          <w:p w:rsidR="00C16E1F" w:rsidRPr="00337ED4" w:rsidRDefault="00B012BE" w:rsidP="00337ED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In early </w:t>
            </w:r>
            <w:r w:rsidR="008440CB"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July </w:t>
            </w:r>
            <w:r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2022, partners </w:t>
            </w:r>
            <w:r w:rsidR="008440CB" w:rsidRPr="00C55E73">
              <w:rPr>
                <w:rFonts w:asciiTheme="majorHAnsi" w:hAnsiTheme="majorHAnsi" w:cstheme="majorHAnsi"/>
                <w:sz w:val="20"/>
                <w:szCs w:val="20"/>
              </w:rPr>
              <w:t>managed to meet each other in person for the purposes of a productive face to face meeting. Since this was the first face to face meeting organi</w:t>
            </w:r>
            <w:r w:rsidR="0049052C">
              <w:rPr>
                <w:rFonts w:asciiTheme="majorHAnsi" w:hAnsiTheme="majorHAnsi" w:cstheme="majorHAnsi"/>
                <w:sz w:val="20"/>
                <w:szCs w:val="20"/>
              </w:rPr>
              <w:t>zed in the course of the project</w:t>
            </w:r>
            <w:r w:rsidR="008440CB"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, partners were really happy to meet for the very first time. With the project’s official extension for six months, partners mapped </w:t>
            </w:r>
            <w:r w:rsidR="0049052C">
              <w:rPr>
                <w:rFonts w:asciiTheme="majorHAnsi" w:hAnsiTheme="majorHAnsi" w:cstheme="majorHAnsi"/>
                <w:sz w:val="20"/>
                <w:szCs w:val="20"/>
              </w:rPr>
              <w:t xml:space="preserve">out </w:t>
            </w:r>
            <w:r w:rsidR="008440CB"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the project’s </w:t>
            </w:r>
            <w:r w:rsidR="0049052C">
              <w:rPr>
                <w:rFonts w:asciiTheme="majorHAnsi" w:hAnsiTheme="majorHAnsi" w:cstheme="majorHAnsi"/>
                <w:sz w:val="20"/>
                <w:szCs w:val="20"/>
              </w:rPr>
              <w:t>next steps a</w:t>
            </w:r>
            <w:r w:rsidR="008440CB"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nd revised their schedules on the </w:t>
            </w:r>
            <w:r w:rsidR="0049052C">
              <w:rPr>
                <w:rFonts w:asciiTheme="majorHAnsi" w:hAnsiTheme="majorHAnsi" w:cstheme="majorHAnsi"/>
                <w:sz w:val="20"/>
                <w:szCs w:val="20"/>
              </w:rPr>
              <w:t xml:space="preserve">project’s </w:t>
            </w:r>
            <w:r w:rsidR="008440CB" w:rsidRPr="00C55E73">
              <w:rPr>
                <w:rFonts w:asciiTheme="majorHAnsi" w:hAnsiTheme="majorHAnsi" w:cstheme="majorHAnsi"/>
                <w:sz w:val="20"/>
                <w:szCs w:val="20"/>
              </w:rPr>
              <w:t>implementations</w:t>
            </w:r>
            <w:r w:rsidR="0049052C">
              <w:rPr>
                <w:rFonts w:asciiTheme="majorHAnsi" w:hAnsiTheme="majorHAnsi" w:cstheme="majorHAnsi"/>
                <w:sz w:val="20"/>
                <w:szCs w:val="20"/>
              </w:rPr>
              <w:t>. In the following weeks</w:t>
            </w:r>
            <w:r w:rsidR="00BA6F64" w:rsidRPr="00BA6F64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49052C">
              <w:rPr>
                <w:rFonts w:asciiTheme="majorHAnsi" w:hAnsiTheme="majorHAnsi" w:cstheme="majorHAnsi"/>
                <w:sz w:val="20"/>
                <w:szCs w:val="20"/>
              </w:rPr>
              <w:t xml:space="preserve"> the project’s resources will be translated and soon the partnership will proceed to </w:t>
            </w:r>
            <w:proofErr w:type="spellStart"/>
            <w:r w:rsidR="008440CB" w:rsidRPr="00C55E73">
              <w:rPr>
                <w:rFonts w:asciiTheme="majorHAnsi" w:hAnsiTheme="majorHAnsi" w:cstheme="majorHAnsi"/>
                <w:sz w:val="20"/>
                <w:szCs w:val="20"/>
              </w:rPr>
              <w:t>pilotings</w:t>
            </w:r>
            <w:proofErr w:type="spellEnd"/>
            <w:r w:rsidR="008440CB"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6A7B12"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The next partners meeting will take place in </w:t>
            </w:r>
            <w:r w:rsidR="00C16E1F" w:rsidRPr="00C55E73">
              <w:rPr>
                <w:rFonts w:asciiTheme="majorHAnsi" w:hAnsiTheme="majorHAnsi" w:cstheme="majorHAnsi"/>
                <w:sz w:val="20"/>
                <w:szCs w:val="20"/>
              </w:rPr>
              <w:t>Cyprus</w:t>
            </w:r>
            <w:r w:rsidR="0049052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C16E1F"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 in autumn 2022</w:t>
            </w:r>
            <w:r w:rsidR="00337ED4" w:rsidRPr="00337ED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C16E1F" w:rsidRDefault="00C16E1F" w:rsidP="003F2B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8"/>
              <w:gridCol w:w="1653"/>
              <w:gridCol w:w="2733"/>
            </w:tblGrid>
            <w:tr w:rsidR="008F49C4" w:rsidTr="00337ED4">
              <w:tc>
                <w:tcPr>
                  <w:tcW w:w="2948" w:type="dxa"/>
                </w:tcPr>
                <w:p w:rsidR="008F49C4" w:rsidRPr="008F49C4" w:rsidRDefault="008F49C4" w:rsidP="00337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  <w:lang w:val="el-GR"/>
                    </w:rPr>
                  </w:pPr>
                  <w:r w:rsidRPr="008F49C4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40686" cy="1155700"/>
                        <wp:effectExtent l="0" t="0" r="2540" b="6350"/>
                        <wp:docPr id="5" name="Picture 5" descr="C:\Users\Elena Xeni\Downloads\IMG_14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ena Xeni\Downloads\IMG_14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282" cy="1164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3" w:type="dxa"/>
                </w:tcPr>
                <w:p w:rsidR="00337ED4" w:rsidRDefault="00337ED4" w:rsidP="00337ED4">
                  <w:pP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  <w:p w:rsidR="00337ED4" w:rsidRDefault="00337ED4" w:rsidP="0049052C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B76AAD" wp14:editId="52845CFE">
                        <wp:extent cx="622300" cy="628650"/>
                        <wp:effectExtent l="0" t="0" r="6350" b="0"/>
                        <wp:docPr id="16" name="Picture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30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7ED4" w:rsidRPr="00C16E1F" w:rsidRDefault="00337ED4" w:rsidP="00337ED4">
                  <w:pP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  <w:p w:rsidR="008F49C4" w:rsidRPr="008F49C4" w:rsidRDefault="008F49C4" w:rsidP="003F2B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2733" w:type="dxa"/>
                </w:tcPr>
                <w:p w:rsidR="008F49C4" w:rsidRDefault="008F49C4" w:rsidP="00C55E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8E702F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1E7270ED" wp14:editId="2762EDDF">
                        <wp:extent cx="1384300" cy="1180162"/>
                        <wp:effectExtent l="0" t="0" r="6350" b="1270"/>
                        <wp:docPr id="2" name="Picture 2" descr="C:\Users\Elena Xeni\Downloads\IMG_13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lena Xeni\Downloads\IMG_13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6425" cy="1190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5E73" w:rsidRDefault="00C55E73" w:rsidP="003F2B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B012BE" w:rsidRPr="00C55E73" w:rsidRDefault="008440CB" w:rsidP="0026441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>iWell</w:t>
            </w:r>
            <w:proofErr w:type="spellEnd"/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LTTA, 4</w:t>
            </w:r>
            <w:r w:rsidRPr="00C55E73"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</w:rPr>
              <w:t>th</w:t>
            </w:r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– 8</w:t>
            </w:r>
            <w:r w:rsidRPr="00C55E73"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</w:rPr>
              <w:t>th</w:t>
            </w:r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July 2022, Athens, KMOP</w:t>
            </w:r>
          </w:p>
          <w:p w:rsidR="008440CB" w:rsidRPr="00C55E73" w:rsidRDefault="008440CB" w:rsidP="00337ED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Held in the beautiful city of Athens and </w:t>
            </w:r>
            <w:proofErr w:type="spellStart"/>
            <w:r w:rsidRPr="00C55E73">
              <w:rPr>
                <w:rFonts w:asciiTheme="majorHAnsi" w:hAnsiTheme="majorHAnsi" w:cstheme="majorHAnsi"/>
                <w:sz w:val="20"/>
                <w:szCs w:val="20"/>
              </w:rPr>
              <w:t>organised</w:t>
            </w:r>
            <w:proofErr w:type="spellEnd"/>
            <w:r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 by KMOP, the LTTA brought together 10 teachers from all partner countries who were introduced to the project and its achievements and given much time to test the resources developed (IO2 – iWell Curriculu</w:t>
            </w:r>
            <w:r w:rsidR="00C16E1F"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m; IO3 – </w:t>
            </w:r>
            <w:proofErr w:type="spellStart"/>
            <w:r w:rsidR="00C16E1F" w:rsidRPr="00C55E73">
              <w:rPr>
                <w:rFonts w:asciiTheme="majorHAnsi" w:hAnsiTheme="majorHAnsi" w:cstheme="majorHAnsi"/>
                <w:sz w:val="20"/>
                <w:szCs w:val="20"/>
              </w:rPr>
              <w:t>iWell</w:t>
            </w:r>
            <w:proofErr w:type="spellEnd"/>
            <w:r w:rsidR="00C16E1F"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 Mini-games and IO</w:t>
            </w:r>
            <w:r w:rsidR="00337ED4">
              <w:rPr>
                <w:rFonts w:asciiTheme="majorHAnsi" w:hAnsiTheme="majorHAnsi" w:cstheme="majorHAnsi"/>
                <w:sz w:val="20"/>
                <w:szCs w:val="20"/>
              </w:rPr>
              <w:t xml:space="preserve">4 – </w:t>
            </w:r>
            <w:proofErr w:type="spellStart"/>
            <w:r w:rsidR="00337ED4">
              <w:rPr>
                <w:rFonts w:asciiTheme="majorHAnsi" w:hAnsiTheme="majorHAnsi" w:cstheme="majorHAnsi"/>
                <w:sz w:val="20"/>
                <w:szCs w:val="20"/>
              </w:rPr>
              <w:t>iWell</w:t>
            </w:r>
            <w:proofErr w:type="spellEnd"/>
            <w:r w:rsidR="00337ED4">
              <w:rPr>
                <w:rFonts w:asciiTheme="majorHAnsi" w:hAnsiTheme="majorHAnsi" w:cstheme="majorHAnsi"/>
                <w:sz w:val="20"/>
                <w:szCs w:val="20"/>
              </w:rPr>
              <w:t xml:space="preserve"> MOOCs</w:t>
            </w:r>
            <w:r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 for Teachers).</w:t>
            </w:r>
            <w:r w:rsidR="006A7B12" w:rsidRPr="00C55E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55E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Te</w:t>
            </w:r>
            <w:r w:rsidR="006A7B12" w:rsidRPr="00C55E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acher-participants</w:t>
            </w:r>
            <w:r w:rsidR="00337ED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shared encouraging</w:t>
            </w:r>
            <w:r w:rsidRPr="00C55E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comments on the consortium attempts to enhance the Digital, Social and Emotional well-being in Schools, highlighting t</w:t>
            </w:r>
            <w:r w:rsidR="00337ED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he importance of this project for schools, homes and societies</w:t>
            </w:r>
            <w:r w:rsidRPr="00C55E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Teacher-participants were also introduced </w:t>
            </w:r>
            <w:r w:rsidR="00BA6F6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to the </w:t>
            </w:r>
            <w:bookmarkStart w:id="0" w:name="_GoBack"/>
            <w:bookmarkEnd w:id="0"/>
            <w:r w:rsidR="00337ED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Adolescent Health NGO</w:t>
            </w:r>
            <w:r w:rsidRPr="00C55E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work on mental health during the mini-tour </w:t>
            </w:r>
            <w:r w:rsidR="00337ED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at </w:t>
            </w:r>
            <w:r w:rsidRPr="00C55E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organisation’s premises.</w:t>
            </w:r>
            <w:r w:rsidR="006A7B12" w:rsidRPr="00C55E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Beyond the busy schedule in getting a</w:t>
            </w:r>
            <w:r w:rsidR="00F82B7A" w:rsidRPr="00C55E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quainted</w:t>
            </w:r>
            <w:r w:rsidR="006A7B12" w:rsidRPr="00C55E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with the pro</w:t>
            </w:r>
            <w:r w:rsidR="00337ED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ject’s topic and works, teacher-participants visited the city of </w:t>
            </w:r>
            <w:r w:rsidR="006A7B12" w:rsidRPr="00C55E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Athens and enjoyed a memorable cultural programme in an inspiring ambiance.</w:t>
            </w:r>
          </w:p>
          <w:p w:rsidR="006A7B12" w:rsidRDefault="006A7B12" w:rsidP="006A7B1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7"/>
              <w:gridCol w:w="1664"/>
              <w:gridCol w:w="3003"/>
            </w:tblGrid>
            <w:tr w:rsidR="0049052C" w:rsidTr="008F49C4">
              <w:tc>
                <w:tcPr>
                  <w:tcW w:w="2758" w:type="dxa"/>
                </w:tcPr>
                <w:p w:rsidR="008E702F" w:rsidRDefault="008E702F" w:rsidP="008F49C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</w:rPr>
                    <w:t xml:space="preserve">       </w:t>
                  </w:r>
                  <w:r w:rsidR="008F49C4" w:rsidRPr="008E702F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10B5412D" wp14:editId="14920F0D">
                        <wp:extent cx="1270000" cy="1198407"/>
                        <wp:effectExtent l="0" t="0" r="6350" b="1905"/>
                        <wp:docPr id="1" name="Picture 1" descr="C:\Users\Elena Xeni\Downloads\IMG_14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ena Xeni\Downloads\IMG_14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309" cy="1206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0" w:type="dxa"/>
                </w:tcPr>
                <w:p w:rsidR="008E702F" w:rsidRDefault="008F49C4" w:rsidP="008F49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GB"/>
                    </w:rPr>
                  </w:pPr>
                  <w:r w:rsidRPr="008E702F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E10E9F9" wp14:editId="59ECC6D4">
                        <wp:extent cx="1371916" cy="920112"/>
                        <wp:effectExtent l="0" t="2540" r="0" b="0"/>
                        <wp:docPr id="3" name="Picture 3" descr="C:\Users\Elena Xeni\Downloads\IMG_13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lena Xeni\Downloads\IMG_13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 flipH="1">
                                  <a:off x="0" y="0"/>
                                  <a:ext cx="1376998" cy="9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6" w:type="dxa"/>
                </w:tcPr>
                <w:p w:rsidR="008E702F" w:rsidRDefault="008E702F" w:rsidP="008E702F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GB"/>
                    </w:rPr>
                  </w:pPr>
                  <w:r w:rsidRPr="008E702F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66579" cy="1333500"/>
                        <wp:effectExtent l="0" t="0" r="0" b="0"/>
                        <wp:docPr id="4" name="Picture 4" descr="C:\Users\Elena Xeni\Downloads\IMG_14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ena Xeni\Downloads\IMG_14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7751" cy="1334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12BE" w:rsidRPr="008E702F" w:rsidRDefault="00B012BE" w:rsidP="008E702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4230" w:type="dxa"/>
          </w:tcPr>
          <w:p w:rsidR="00B012BE" w:rsidRPr="00F50DE0" w:rsidRDefault="006840BD" w:rsidP="006840BD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</w:t>
            </w:r>
            <w:r w:rsidR="00B012BE">
              <w:rPr>
                <w:rFonts w:asciiTheme="majorHAnsi" w:hAnsiTheme="majorHAnsi" w:cstheme="majorHAnsi"/>
                <w:b/>
                <w:sz w:val="28"/>
                <w:szCs w:val="28"/>
              </w:rPr>
              <w:t>n this Issue</w:t>
            </w:r>
          </w:p>
          <w:p w:rsidR="00B012BE" w:rsidRDefault="00B012BE" w:rsidP="0049052C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Welcome to </w:t>
            </w:r>
            <w:r w:rsidRPr="00F50DE0">
              <w:rPr>
                <w:rFonts w:asciiTheme="majorHAnsi" w:hAnsiTheme="majorHAnsi" w:cstheme="majorHAnsi"/>
                <w:sz w:val="20"/>
                <w:szCs w:val="20"/>
              </w:rPr>
              <w:t xml:space="preserve">iWell </w:t>
            </w:r>
            <w:r w:rsidR="008440CB">
              <w:rPr>
                <w:rFonts w:asciiTheme="majorHAnsi" w:hAnsiTheme="majorHAnsi" w:cstheme="majorHAnsi"/>
                <w:sz w:val="20"/>
                <w:szCs w:val="20"/>
              </w:rPr>
              <w:t>third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newsletter with updates on the project works and achievements. In this issue</w:t>
            </w:r>
            <w:r w:rsidR="006840BD">
              <w:rPr>
                <w:rFonts w:asciiTheme="majorHAnsi" w:hAnsiTheme="majorHAnsi" w:cstheme="majorHAnsi"/>
                <w:sz w:val="20"/>
                <w:szCs w:val="20"/>
              </w:rPr>
              <w:t xml:space="preserve">, news regarding </w:t>
            </w:r>
            <w:proofErr w:type="spellStart"/>
            <w:r w:rsidR="006840BD">
              <w:rPr>
                <w:rFonts w:asciiTheme="majorHAnsi" w:hAnsiTheme="majorHAnsi" w:cstheme="majorHAnsi"/>
                <w:sz w:val="20"/>
                <w:szCs w:val="20"/>
              </w:rPr>
              <w:t>iWell</w:t>
            </w:r>
            <w:proofErr w:type="spellEnd"/>
            <w:r w:rsidR="006840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440CB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49052C">
              <w:rPr>
                <w:rFonts w:asciiTheme="majorHAnsi" w:hAnsiTheme="majorHAnsi" w:cstheme="majorHAnsi"/>
                <w:sz w:val="20"/>
                <w:szCs w:val="20"/>
              </w:rPr>
              <w:t>PM and</w:t>
            </w:r>
            <w:r w:rsidR="008440CB">
              <w:rPr>
                <w:rFonts w:asciiTheme="majorHAnsi" w:hAnsiTheme="majorHAnsi" w:cstheme="majorHAnsi"/>
                <w:sz w:val="20"/>
                <w:szCs w:val="20"/>
              </w:rPr>
              <w:t xml:space="preserve"> LTTA in Athens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will be shared and updates on the rest of the project’s </w:t>
            </w:r>
            <w:r w:rsidR="0049052C">
              <w:rPr>
                <w:rFonts w:asciiTheme="majorHAnsi" w:hAnsiTheme="majorHAnsi" w:cstheme="majorHAnsi"/>
                <w:sz w:val="20"/>
                <w:szCs w:val="20"/>
              </w:rPr>
              <w:t>works wi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ll be </w:t>
            </w:r>
            <w:r w:rsidR="008440CB">
              <w:rPr>
                <w:rFonts w:asciiTheme="majorHAnsi" w:hAnsiTheme="majorHAnsi" w:cstheme="majorHAnsi"/>
                <w:sz w:val="20"/>
                <w:szCs w:val="20"/>
              </w:rPr>
              <w:t>noted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8F49C4" w:rsidRPr="008123E7" w:rsidTr="006840BD">
        <w:tc>
          <w:tcPr>
            <w:tcW w:w="7560" w:type="dxa"/>
            <w:vMerge/>
          </w:tcPr>
          <w:p w:rsidR="00B012BE" w:rsidRPr="007F79B0" w:rsidRDefault="00B012BE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B012BE" w:rsidRPr="00F50DE0" w:rsidRDefault="00B012BE" w:rsidP="006840BD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Further updates o</w:t>
            </w:r>
            <w:r w:rsidR="006840BD">
              <w:rPr>
                <w:rFonts w:asciiTheme="majorHAnsi" w:hAnsiTheme="majorHAnsi" w:cstheme="majorHAnsi"/>
                <w:b/>
                <w:sz w:val="28"/>
                <w:szCs w:val="28"/>
              </w:rPr>
              <w:t>n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iWell </w:t>
            </w:r>
          </w:p>
          <w:p w:rsidR="00B012BE" w:rsidRPr="00F50DE0" w:rsidRDefault="0049052C" w:rsidP="0049052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proofErr w:type="spellStart"/>
            <w:r w:rsidR="00B012BE">
              <w:rPr>
                <w:rFonts w:asciiTheme="majorHAnsi" w:hAnsiTheme="majorHAnsi" w:cstheme="majorHAnsi"/>
                <w:sz w:val="20"/>
                <w:szCs w:val="20"/>
              </w:rPr>
              <w:t>iWell</w:t>
            </w:r>
            <w:proofErr w:type="spellEnd"/>
            <w:r w:rsidR="00B012BE">
              <w:rPr>
                <w:rFonts w:asciiTheme="majorHAnsi" w:hAnsiTheme="majorHAnsi" w:cstheme="majorHAnsi"/>
                <w:sz w:val="20"/>
                <w:szCs w:val="20"/>
              </w:rPr>
              <w:t xml:space="preserve"> Consortium has managed to</w:t>
            </w:r>
            <w:r w:rsidR="006840BD">
              <w:rPr>
                <w:rFonts w:asciiTheme="majorHAnsi" w:hAnsiTheme="majorHAnsi" w:cstheme="majorHAnsi"/>
                <w:sz w:val="20"/>
                <w:szCs w:val="20"/>
              </w:rPr>
              <w:t xml:space="preserve"> draft the Mini-Games (IO3), </w:t>
            </w:r>
            <w:r w:rsidR="00B012BE">
              <w:rPr>
                <w:rFonts w:asciiTheme="majorHAnsi" w:hAnsiTheme="majorHAnsi" w:cstheme="majorHAnsi"/>
                <w:sz w:val="20"/>
                <w:szCs w:val="20"/>
              </w:rPr>
              <w:t>the MOOCs</w:t>
            </w:r>
            <w:r w:rsidR="006840BD">
              <w:rPr>
                <w:rFonts w:asciiTheme="majorHAnsi" w:hAnsiTheme="majorHAnsi" w:cstheme="majorHAnsi"/>
                <w:sz w:val="20"/>
                <w:szCs w:val="20"/>
              </w:rPr>
              <w:t xml:space="preserve"> resources (IO4) and the guidelines for the </w:t>
            </w:r>
            <w:r w:rsidR="006840BD" w:rsidRPr="006840BD">
              <w:rPr>
                <w:rFonts w:asciiTheme="majorHAnsi" w:hAnsiTheme="majorHAnsi" w:cstheme="majorHAnsi"/>
                <w:sz w:val="20"/>
                <w:szCs w:val="20"/>
              </w:rPr>
              <w:t>Toolkit with Policy &amp; Practice Recommendations</w:t>
            </w:r>
            <w:r w:rsidR="006840BD">
              <w:rPr>
                <w:rFonts w:asciiTheme="majorHAnsi" w:hAnsiTheme="majorHAnsi" w:cstheme="majorHAnsi"/>
                <w:sz w:val="20"/>
                <w:szCs w:val="20"/>
              </w:rPr>
              <w:t xml:space="preserve"> (IO5)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Now the partnership</w:t>
            </w:r>
            <w:r w:rsidR="006A7B12">
              <w:rPr>
                <w:rFonts w:asciiTheme="majorHAnsi" w:hAnsiTheme="majorHAnsi" w:cstheme="majorHAnsi"/>
                <w:sz w:val="20"/>
                <w:szCs w:val="20"/>
              </w:rPr>
              <w:t xml:space="preserve"> is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preparing the </w:t>
            </w:r>
            <w:r w:rsidR="006A7B12">
              <w:rPr>
                <w:rFonts w:asciiTheme="majorHAnsi" w:hAnsiTheme="majorHAnsi" w:cstheme="majorHAnsi"/>
                <w:sz w:val="20"/>
                <w:szCs w:val="20"/>
              </w:rPr>
              <w:t xml:space="preserve">guidelines for the </w:t>
            </w:r>
            <w:proofErr w:type="spellStart"/>
            <w:r w:rsidR="006A7B12">
              <w:rPr>
                <w:rFonts w:asciiTheme="majorHAnsi" w:hAnsiTheme="majorHAnsi" w:cstheme="majorHAnsi"/>
                <w:sz w:val="20"/>
                <w:szCs w:val="20"/>
              </w:rPr>
              <w:t>pilotings</w:t>
            </w:r>
            <w:proofErr w:type="spellEnd"/>
            <w:r w:rsidR="006A7B12">
              <w:rPr>
                <w:rFonts w:asciiTheme="majorHAnsi" w:hAnsiTheme="majorHAnsi" w:cstheme="majorHAnsi"/>
                <w:sz w:val="20"/>
                <w:szCs w:val="20"/>
              </w:rPr>
              <w:t>, following the translation of all resources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that was </w:t>
            </w:r>
            <w:r w:rsidR="006A7B12">
              <w:rPr>
                <w:rFonts w:asciiTheme="majorHAnsi" w:hAnsiTheme="majorHAnsi" w:cstheme="majorHAnsi"/>
                <w:sz w:val="20"/>
                <w:szCs w:val="20"/>
              </w:rPr>
              <w:t>completed during the summer months.</w:t>
            </w:r>
          </w:p>
        </w:tc>
      </w:tr>
      <w:tr w:rsidR="008F49C4" w:rsidRPr="008123E7" w:rsidTr="006840BD">
        <w:tc>
          <w:tcPr>
            <w:tcW w:w="7560" w:type="dxa"/>
            <w:vMerge/>
          </w:tcPr>
          <w:p w:rsidR="00B012BE" w:rsidRPr="003F2B06" w:rsidRDefault="00B012BE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B012BE" w:rsidRPr="00F50DE0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50DE0">
              <w:rPr>
                <w:rFonts w:asciiTheme="majorHAnsi" w:hAnsiTheme="majorHAnsi" w:cstheme="majorHAnsi"/>
                <w:b/>
                <w:sz w:val="28"/>
                <w:szCs w:val="28"/>
              </w:rPr>
              <w:t>iWell partnership</w:t>
            </w:r>
          </w:p>
          <w:p w:rsidR="00B012BE" w:rsidRPr="0049052C" w:rsidRDefault="00B012BE" w:rsidP="005C441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49052C">
              <w:rPr>
                <w:rFonts w:asciiTheme="majorHAnsi" w:hAnsiTheme="majorHAnsi" w:cstheme="majorHAnsi"/>
                <w:sz w:val="18"/>
                <w:szCs w:val="18"/>
              </w:rPr>
              <w:t xml:space="preserve">THE INSTITUTE OF TECHNOLOGY AND DEVELOPMENT FOUNDATION, BULGARIA (Leading </w:t>
            </w:r>
            <w:proofErr w:type="spellStart"/>
            <w:r w:rsidRPr="0049052C">
              <w:rPr>
                <w:rFonts w:asciiTheme="majorHAnsi" w:hAnsiTheme="majorHAnsi" w:cstheme="majorHAnsi"/>
                <w:sz w:val="18"/>
                <w:szCs w:val="18"/>
              </w:rPr>
              <w:t>Organisation</w:t>
            </w:r>
            <w:proofErr w:type="spellEnd"/>
            <w:r w:rsidRPr="0049052C">
              <w:rPr>
                <w:rFonts w:asciiTheme="majorHAnsi" w:hAnsiTheme="majorHAnsi" w:cstheme="majorHAnsi"/>
                <w:sz w:val="18"/>
                <w:szCs w:val="18"/>
              </w:rPr>
              <w:t>];</w:t>
            </w:r>
          </w:p>
          <w:p w:rsidR="00B012BE" w:rsidRPr="0049052C" w:rsidRDefault="00B012BE" w:rsidP="005C441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49052C">
              <w:rPr>
                <w:rFonts w:asciiTheme="majorHAnsi" w:hAnsiTheme="majorHAnsi" w:cstheme="majorHAnsi"/>
                <w:sz w:val="18"/>
                <w:szCs w:val="18"/>
              </w:rPr>
              <w:t>CARDET – CENTRE FOR ADVANCEMENT OF RESEARCH AND DEVELOPMENT IN EDUCATIONAL TECHNOLOGY LTD, CYPRUS;</w:t>
            </w:r>
          </w:p>
          <w:p w:rsidR="00B012BE" w:rsidRPr="0049052C" w:rsidRDefault="00B012BE" w:rsidP="005C441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49052C">
              <w:rPr>
                <w:rFonts w:asciiTheme="majorHAnsi" w:hAnsiTheme="majorHAnsi" w:cstheme="majorHAnsi"/>
                <w:sz w:val="18"/>
                <w:szCs w:val="18"/>
              </w:rPr>
              <w:t>The Rural Hub CLG, IRELAND;</w:t>
            </w:r>
          </w:p>
          <w:p w:rsidR="00B012BE" w:rsidRPr="0049052C" w:rsidRDefault="00B012BE" w:rsidP="005C441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49052C">
              <w:rPr>
                <w:rFonts w:asciiTheme="majorHAnsi" w:hAnsiTheme="majorHAnsi" w:cstheme="majorHAnsi"/>
                <w:sz w:val="18"/>
                <w:szCs w:val="18"/>
              </w:rPr>
              <w:t>CESIE, ITALY;</w:t>
            </w:r>
          </w:p>
          <w:p w:rsidR="00B012BE" w:rsidRPr="0049052C" w:rsidRDefault="00B012BE" w:rsidP="005C441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49052C">
              <w:rPr>
                <w:rFonts w:asciiTheme="majorHAnsi" w:hAnsiTheme="majorHAnsi" w:cstheme="majorHAnsi"/>
                <w:sz w:val="18"/>
                <w:szCs w:val="18"/>
              </w:rPr>
              <w:t xml:space="preserve">INNOVADE LI LTD, CYPRUS; and </w:t>
            </w:r>
          </w:p>
          <w:p w:rsidR="00B012BE" w:rsidRPr="008123E7" w:rsidRDefault="00B012BE" w:rsidP="006A7B1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24"/>
                <w:szCs w:val="24"/>
              </w:rPr>
            </w:pPr>
            <w:r w:rsidRPr="0049052C">
              <w:rPr>
                <w:rFonts w:asciiTheme="majorHAnsi" w:hAnsiTheme="majorHAnsi" w:cstheme="majorHAnsi"/>
                <w:sz w:val="18"/>
                <w:szCs w:val="18"/>
              </w:rPr>
              <w:t>KENTRO MERIMNAS OIKOGENEIAS KAI PAIDIOU, GREECE</w:t>
            </w:r>
          </w:p>
        </w:tc>
      </w:tr>
      <w:tr w:rsidR="008F49C4" w:rsidRPr="008123E7" w:rsidTr="006840BD">
        <w:tc>
          <w:tcPr>
            <w:tcW w:w="7560" w:type="dxa"/>
            <w:vMerge/>
          </w:tcPr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B012BE" w:rsidRDefault="006840BD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C738724" wp14:editId="77145DEC">
                  <wp:simplePos x="0" y="0"/>
                  <wp:positionH relativeFrom="page">
                    <wp:posOffset>686435</wp:posOffset>
                  </wp:positionH>
                  <wp:positionV relativeFrom="page">
                    <wp:posOffset>80645</wp:posOffset>
                  </wp:positionV>
                  <wp:extent cx="1264920" cy="109013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 document_cover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09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Pr="00C16E1F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Pr="00F50DE0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49C4" w:rsidRPr="008123E7" w:rsidTr="006840BD">
        <w:tc>
          <w:tcPr>
            <w:tcW w:w="7560" w:type="dxa"/>
            <w:vMerge/>
          </w:tcPr>
          <w:p w:rsidR="00B012BE" w:rsidRPr="008123E7" w:rsidRDefault="00B012BE" w:rsidP="00F50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B012BE" w:rsidRPr="008123E7" w:rsidRDefault="00B012BE" w:rsidP="00F50DE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23E7">
              <w:rPr>
                <w:rFonts w:asciiTheme="majorHAnsi" w:hAnsiTheme="majorHAnsi" w:cstheme="majorHAnsi"/>
                <w:b/>
                <w:sz w:val="24"/>
                <w:szCs w:val="24"/>
              </w:rPr>
              <w:t>Stay tuned with iWell</w:t>
            </w:r>
          </w:p>
          <w:p w:rsidR="0049052C" w:rsidRPr="0049052C" w:rsidRDefault="00B012BE" w:rsidP="00F50DE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9052C">
              <w:rPr>
                <w:rFonts w:asciiTheme="majorHAnsi" w:hAnsiTheme="majorHAnsi" w:cstheme="majorHAnsi"/>
                <w:b/>
                <w:sz w:val="18"/>
                <w:szCs w:val="18"/>
              </w:rPr>
              <w:t>iWell</w:t>
            </w:r>
            <w:proofErr w:type="spellEnd"/>
            <w:r w:rsidRPr="0049052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Website</w:t>
            </w:r>
            <w:r w:rsidR="0049052C" w:rsidRPr="0049052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</w:p>
          <w:p w:rsidR="00B012BE" w:rsidRPr="0049052C" w:rsidRDefault="00C87765" w:rsidP="00F50DE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hyperlink r:id="rId13" w:history="1">
              <w:r w:rsidR="00B012BE" w:rsidRPr="0049052C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val="en-GB"/>
                </w:rPr>
                <w:t>https://iwellproject.eu/</w:t>
              </w:r>
            </w:hyperlink>
          </w:p>
          <w:p w:rsidR="00B012BE" w:rsidRPr="0049052C" w:rsidRDefault="00B012BE" w:rsidP="00F50DE0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:rsidR="00B012BE" w:rsidRPr="0049052C" w:rsidRDefault="00B012BE" w:rsidP="00F50DE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052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iWell Facebook: </w:t>
            </w:r>
          </w:p>
          <w:p w:rsidR="00B012BE" w:rsidRPr="0049052C" w:rsidRDefault="00C87765" w:rsidP="00F50DE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hyperlink r:id="rId14" w:history="1">
              <w:r w:rsidR="00B012BE" w:rsidRPr="0049052C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val="en-GB"/>
                </w:rPr>
                <w:t>https://www.facebook.com/IWell-107756454714838</w:t>
              </w:r>
            </w:hyperlink>
            <w:hyperlink r:id="rId15" w:history="1">
              <w:r w:rsidR="00B012BE" w:rsidRPr="0049052C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val="en-GB"/>
                </w:rPr>
                <w:t>/</w:t>
              </w:r>
            </w:hyperlink>
          </w:p>
        </w:tc>
      </w:tr>
    </w:tbl>
    <w:p w:rsidR="00F50DE0" w:rsidRDefault="005C4416" w:rsidP="00F50DE0">
      <w:pPr>
        <w:spacing w:after="0" w:line="240" w:lineRule="auto"/>
      </w:pPr>
      <w:r w:rsidRPr="00832EAA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9EF4686" wp14:editId="0B713CE7">
            <wp:simplePos x="0" y="0"/>
            <wp:positionH relativeFrom="column">
              <wp:posOffset>-208915</wp:posOffset>
            </wp:positionH>
            <wp:positionV relativeFrom="paragraph">
              <wp:posOffset>97790</wp:posOffset>
            </wp:positionV>
            <wp:extent cx="1732915" cy="495300"/>
            <wp:effectExtent l="0" t="0" r="0" b="0"/>
            <wp:wrapTight wrapText="bothSides">
              <wp:wrapPolygon edited="0">
                <wp:start x="475" y="1662"/>
                <wp:lineTo x="475" y="18277"/>
                <wp:lineTo x="13297" y="19938"/>
                <wp:lineTo x="14247" y="19938"/>
                <wp:lineTo x="20896" y="18277"/>
                <wp:lineTo x="20658" y="11631"/>
                <wp:lineTo x="18521" y="4985"/>
                <wp:lineTo x="16384" y="1662"/>
                <wp:lineTo x="475" y="1662"/>
              </wp:wrapPolygon>
            </wp:wrapTight>
            <wp:docPr id="17" name="Picture 4" descr="C:\Users\Alex\Desktop\Loghi progetto\Erasmus+\eu_flag_co_funded_vect_pos_[cmyk]_right-[Convertito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lex\Desktop\Loghi progetto\Erasmus+\eu_flag_co_funded_vect_pos_[cmyk]_right-[Convertito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DE0" w:rsidRDefault="00F50DE0" w:rsidP="00F50DE0">
      <w:pPr>
        <w:pStyle w:val="Footer"/>
        <w:ind w:left="2520"/>
        <w:rPr>
          <w:rFonts w:ascii="Arial Narrow" w:hAnsi="Arial Narrow"/>
          <w:color w:val="808080" w:themeColor="background1" w:themeShade="80"/>
          <w:sz w:val="18"/>
          <w:szCs w:val="18"/>
        </w:rPr>
      </w:pPr>
      <w:r w:rsidRPr="00832EAA">
        <w:rPr>
          <w:rFonts w:ascii="Arial Narrow" w:hAnsi="Arial Narrow"/>
          <w:color w:val="808080" w:themeColor="background1" w:themeShade="80"/>
          <w:sz w:val="18"/>
          <w:szCs w:val="18"/>
        </w:rPr>
        <w:t>The European Commission support for the production of this publication does not constitute an endorsement of the contents which reflects the views only of the authors, and the Com</w:t>
      </w:r>
      <w:r>
        <w:rPr>
          <w:rFonts w:ascii="Arial Narrow" w:hAnsi="Arial Narrow"/>
          <w:color w:val="808080" w:themeColor="background1" w:themeShade="80"/>
          <w:sz w:val="18"/>
          <w:szCs w:val="18"/>
        </w:rPr>
        <w:t>mission cannot be held responsi</w:t>
      </w:r>
      <w:r w:rsidRPr="00832EAA">
        <w:rPr>
          <w:rFonts w:ascii="Arial Narrow" w:hAnsi="Arial Narrow"/>
          <w:color w:val="808080" w:themeColor="background1" w:themeShade="80"/>
          <w:sz w:val="18"/>
          <w:szCs w:val="18"/>
        </w:rPr>
        <w:t>ble for any use which may be made of the information contained therein.</w:t>
      </w:r>
    </w:p>
    <w:p w:rsidR="00337ED4" w:rsidRDefault="00337ED4" w:rsidP="00F50DE0">
      <w:pPr>
        <w:pStyle w:val="Footer"/>
        <w:ind w:left="252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337ED4" w:rsidRDefault="00337ED4" w:rsidP="00F50DE0">
      <w:pPr>
        <w:pStyle w:val="Footer"/>
        <w:ind w:left="252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337ED4" w:rsidRPr="00832EAA" w:rsidRDefault="00337ED4" w:rsidP="00F50DE0">
      <w:pPr>
        <w:pStyle w:val="Footer"/>
        <w:ind w:left="2520"/>
        <w:rPr>
          <w:rFonts w:ascii="Arial Narrow" w:hAnsi="Arial Narrow"/>
          <w:sz w:val="18"/>
          <w:szCs w:val="18"/>
        </w:rPr>
      </w:pPr>
    </w:p>
    <w:p w:rsidR="008C5FAE" w:rsidRPr="008C5FAE" w:rsidRDefault="008C5FAE" w:rsidP="00F50DE0">
      <w:pPr>
        <w:spacing w:after="0" w:line="240" w:lineRule="auto"/>
        <w:rPr>
          <w:b/>
        </w:rPr>
      </w:pPr>
    </w:p>
    <w:sectPr w:rsidR="008C5FAE" w:rsidRPr="008C5FAE" w:rsidSect="00337ED4">
      <w:headerReference w:type="default" r:id="rId17"/>
      <w:pgSz w:w="12240" w:h="15840"/>
      <w:pgMar w:top="1418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65" w:rsidRDefault="00C87765" w:rsidP="00F50DE0">
      <w:pPr>
        <w:spacing w:after="0" w:line="240" w:lineRule="auto"/>
      </w:pPr>
      <w:r>
        <w:separator/>
      </w:r>
    </w:p>
  </w:endnote>
  <w:endnote w:type="continuationSeparator" w:id="0">
    <w:p w:rsidR="00C87765" w:rsidRDefault="00C87765" w:rsidP="00F5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65" w:rsidRDefault="00C87765" w:rsidP="00F50DE0">
      <w:pPr>
        <w:spacing w:after="0" w:line="240" w:lineRule="auto"/>
      </w:pPr>
      <w:r>
        <w:separator/>
      </w:r>
    </w:p>
  </w:footnote>
  <w:footnote w:type="continuationSeparator" w:id="0">
    <w:p w:rsidR="00C87765" w:rsidRDefault="00C87765" w:rsidP="00F5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E0" w:rsidRDefault="00F50DE0">
    <w:pPr>
      <w:pStyle w:val="Header"/>
    </w:pPr>
    <w:r w:rsidRPr="00F50DE0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5CD0E6CA" wp14:editId="5532C5DF">
          <wp:simplePos x="0" y="0"/>
          <wp:positionH relativeFrom="column">
            <wp:posOffset>-822960</wp:posOffset>
          </wp:positionH>
          <wp:positionV relativeFrom="paragraph">
            <wp:posOffset>-281940</wp:posOffset>
          </wp:positionV>
          <wp:extent cx="7614285" cy="1150620"/>
          <wp:effectExtent l="0" t="0" r="5715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8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6F"/>
    <w:multiLevelType w:val="hybridMultilevel"/>
    <w:tmpl w:val="2CEA8072"/>
    <w:lvl w:ilvl="0" w:tplc="B6CC3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D75"/>
    <w:multiLevelType w:val="hybridMultilevel"/>
    <w:tmpl w:val="1A94D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513"/>
    <w:multiLevelType w:val="hybridMultilevel"/>
    <w:tmpl w:val="1A94D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50BF"/>
    <w:multiLevelType w:val="hybridMultilevel"/>
    <w:tmpl w:val="10B8B5B4"/>
    <w:lvl w:ilvl="0" w:tplc="45E2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6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C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22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6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CB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8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BC7641"/>
    <w:multiLevelType w:val="hybridMultilevel"/>
    <w:tmpl w:val="E52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A4CA3"/>
    <w:multiLevelType w:val="hybridMultilevel"/>
    <w:tmpl w:val="8C9CA26C"/>
    <w:lvl w:ilvl="0" w:tplc="DEEED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18E1"/>
    <w:multiLevelType w:val="hybridMultilevel"/>
    <w:tmpl w:val="5B123C24"/>
    <w:lvl w:ilvl="0" w:tplc="A7E44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29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0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04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8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A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82"/>
    <w:rsid w:val="0002316C"/>
    <w:rsid w:val="001B3D75"/>
    <w:rsid w:val="00264410"/>
    <w:rsid w:val="00323582"/>
    <w:rsid w:val="00330CB5"/>
    <w:rsid w:val="00337ED4"/>
    <w:rsid w:val="00362D27"/>
    <w:rsid w:val="003F2B06"/>
    <w:rsid w:val="0049052C"/>
    <w:rsid w:val="00500810"/>
    <w:rsid w:val="00594A22"/>
    <w:rsid w:val="005C4416"/>
    <w:rsid w:val="006840BD"/>
    <w:rsid w:val="006A7B12"/>
    <w:rsid w:val="006D76B8"/>
    <w:rsid w:val="006F17B1"/>
    <w:rsid w:val="007F79B0"/>
    <w:rsid w:val="008123E7"/>
    <w:rsid w:val="008440CB"/>
    <w:rsid w:val="00875044"/>
    <w:rsid w:val="008C5FAE"/>
    <w:rsid w:val="008E702F"/>
    <w:rsid w:val="008F49C4"/>
    <w:rsid w:val="00982367"/>
    <w:rsid w:val="009C57B0"/>
    <w:rsid w:val="009D5547"/>
    <w:rsid w:val="00A8667A"/>
    <w:rsid w:val="00B012BE"/>
    <w:rsid w:val="00B6230D"/>
    <w:rsid w:val="00BA6F64"/>
    <w:rsid w:val="00C16E1F"/>
    <w:rsid w:val="00C55E73"/>
    <w:rsid w:val="00C67864"/>
    <w:rsid w:val="00C87765"/>
    <w:rsid w:val="00DD0D70"/>
    <w:rsid w:val="00E81D6D"/>
    <w:rsid w:val="00F50DE0"/>
    <w:rsid w:val="00F74C50"/>
    <w:rsid w:val="00F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FA4C9-1D6B-4FA3-9D9B-037F502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B1"/>
    <w:pPr>
      <w:ind w:left="720"/>
      <w:contextualSpacing/>
    </w:pPr>
  </w:style>
  <w:style w:type="table" w:styleId="TableGrid">
    <w:name w:val="Table Grid"/>
    <w:basedOn w:val="TableNormal"/>
    <w:uiPriority w:val="39"/>
    <w:rsid w:val="0081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C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E0"/>
  </w:style>
  <w:style w:type="paragraph" w:styleId="Header">
    <w:name w:val="header"/>
    <w:basedOn w:val="Normal"/>
    <w:link w:val="HeaderChar"/>
    <w:uiPriority w:val="99"/>
    <w:unhideWhenUsed/>
    <w:rsid w:val="00F5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wellproject.e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IWell-107756454714838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IWell-10775645471483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Xeni</dc:creator>
  <cp:keywords/>
  <dc:description/>
  <cp:lastModifiedBy>Microsoft account</cp:lastModifiedBy>
  <cp:revision>14</cp:revision>
  <dcterms:created xsi:type="dcterms:W3CDTF">2021-06-10T07:26:00Z</dcterms:created>
  <dcterms:modified xsi:type="dcterms:W3CDTF">2022-09-14T06:49:00Z</dcterms:modified>
</cp:coreProperties>
</file>