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01FD8" w14:textId="4A5CF38F" w:rsidR="008123E7" w:rsidRPr="00065AC0" w:rsidRDefault="008123E7" w:rsidP="00F50DE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lang w:val="it-IT"/>
        </w:rPr>
      </w:pPr>
      <w:bookmarkStart w:id="0" w:name="_GoBack"/>
      <w:bookmarkEnd w:id="0"/>
      <w:r w:rsidRPr="00065AC0">
        <w:rPr>
          <w:rFonts w:asciiTheme="majorHAnsi" w:hAnsiTheme="majorHAnsi" w:cstheme="majorHAnsi"/>
          <w:b/>
          <w:bCs/>
          <w:sz w:val="32"/>
          <w:szCs w:val="32"/>
          <w:lang w:val="it-IT"/>
        </w:rPr>
        <w:t xml:space="preserve">iWell – </w:t>
      </w:r>
      <w:r w:rsidR="00065AC0" w:rsidRPr="00D838E1">
        <w:rPr>
          <w:rFonts w:asciiTheme="majorHAnsi" w:hAnsiTheme="majorHAnsi" w:cstheme="majorHAnsi"/>
          <w:b/>
          <w:bCs/>
          <w:sz w:val="32"/>
          <w:szCs w:val="32"/>
          <w:lang w:val="it-IT"/>
        </w:rPr>
        <w:t>Migliorare il Benessere D</w:t>
      </w:r>
      <w:r w:rsidR="00065AC0">
        <w:rPr>
          <w:rFonts w:asciiTheme="majorHAnsi" w:hAnsiTheme="majorHAnsi" w:cstheme="majorHAnsi"/>
          <w:b/>
          <w:bCs/>
          <w:sz w:val="32"/>
          <w:szCs w:val="32"/>
          <w:lang w:val="it-IT"/>
        </w:rPr>
        <w:t>igitale e Sociale nelle Scuole</w:t>
      </w:r>
    </w:p>
    <w:p w14:paraId="33225E9D" w14:textId="4796F969" w:rsidR="00F50DE0" w:rsidRPr="00065AC0" w:rsidRDefault="00F50DE0" w:rsidP="00F50DE0">
      <w:pPr>
        <w:spacing w:after="0" w:line="240" w:lineRule="auto"/>
        <w:jc w:val="center"/>
        <w:rPr>
          <w:rFonts w:asciiTheme="majorHAnsi" w:eastAsia="Calibri" w:hAnsiTheme="majorHAnsi" w:cstheme="majorHAnsi"/>
          <w:sz w:val="24"/>
          <w:szCs w:val="24"/>
          <w:lang w:val="it-IT"/>
        </w:rPr>
      </w:pPr>
      <w:r w:rsidRPr="00065AC0">
        <w:rPr>
          <w:rFonts w:asciiTheme="majorHAnsi" w:eastAsia="Calibri" w:hAnsiTheme="majorHAnsi" w:cstheme="majorHAnsi"/>
          <w:sz w:val="24"/>
          <w:szCs w:val="24"/>
          <w:lang w:val="it-IT"/>
        </w:rPr>
        <w:t>[</w:t>
      </w:r>
      <w:r w:rsidR="00065AC0" w:rsidRPr="00065AC0">
        <w:rPr>
          <w:rFonts w:asciiTheme="majorHAnsi" w:eastAsia="Calibri" w:hAnsiTheme="majorHAnsi" w:cstheme="majorHAnsi"/>
          <w:sz w:val="24"/>
          <w:szCs w:val="24"/>
          <w:lang w:val="it-IT"/>
        </w:rPr>
        <w:t>NUMERO DEL PROGETTO</w:t>
      </w:r>
      <w:r w:rsidRPr="00065AC0">
        <w:rPr>
          <w:rFonts w:asciiTheme="majorHAnsi" w:eastAsia="Calibri" w:hAnsiTheme="majorHAnsi" w:cstheme="majorHAnsi"/>
          <w:sz w:val="24"/>
          <w:szCs w:val="24"/>
          <w:lang w:val="it-IT"/>
        </w:rPr>
        <w:t>: 2020-1-BG01-KA201-079041]</w:t>
      </w:r>
    </w:p>
    <w:p w14:paraId="489468E7" w14:textId="77777777" w:rsidR="00F50DE0" w:rsidRPr="00065AC0" w:rsidRDefault="00F50DE0" w:rsidP="00F50DE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6"/>
          <w:szCs w:val="16"/>
          <w:lang w:val="it-IT"/>
        </w:rPr>
      </w:pPr>
    </w:p>
    <w:p w14:paraId="008944C8" w14:textId="77777777" w:rsidR="008123E7" w:rsidRPr="00F50DE0" w:rsidRDefault="006A7B12" w:rsidP="006A7B12">
      <w:pPr>
        <w:spacing w:after="0" w:line="240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Newsletter 3</w:t>
      </w:r>
    </w:p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7560"/>
        <w:gridCol w:w="4230"/>
      </w:tblGrid>
      <w:tr w:rsidR="008F49C4" w:rsidRPr="00D5254B" w14:paraId="22D45D60" w14:textId="77777777" w:rsidTr="006840BD">
        <w:tc>
          <w:tcPr>
            <w:tcW w:w="7560" w:type="dxa"/>
            <w:vMerge w:val="restart"/>
          </w:tcPr>
          <w:p w14:paraId="2D205E7C" w14:textId="717E3B9F" w:rsidR="008440CB" w:rsidRPr="00C55E73" w:rsidRDefault="00C55E73" w:rsidP="003F2B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5E7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iWell </w:t>
            </w:r>
            <w:r w:rsidR="008440CB" w:rsidRPr="00C55E7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TMP, </w:t>
            </w:r>
            <w:r w:rsidR="007F74B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4 </w:t>
            </w:r>
            <w:proofErr w:type="spellStart"/>
            <w:r w:rsidR="007F74BD">
              <w:rPr>
                <w:rFonts w:asciiTheme="majorHAnsi" w:hAnsiTheme="majorHAnsi" w:cstheme="majorHAnsi"/>
                <w:b/>
                <w:sz w:val="28"/>
                <w:szCs w:val="28"/>
              </w:rPr>
              <w:t>luglio</w:t>
            </w:r>
            <w:proofErr w:type="spellEnd"/>
            <w:r w:rsidR="008440CB" w:rsidRPr="00C55E7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2022, Athen</w:t>
            </w:r>
            <w:r w:rsidR="007F74BD">
              <w:rPr>
                <w:rFonts w:asciiTheme="majorHAnsi" w:hAnsiTheme="majorHAnsi" w:cstheme="majorHAnsi"/>
                <w:b/>
                <w:sz w:val="28"/>
                <w:szCs w:val="28"/>
              </w:rPr>
              <w:t>e</w:t>
            </w:r>
            <w:r w:rsidR="008440CB" w:rsidRPr="00C55E73">
              <w:rPr>
                <w:rFonts w:asciiTheme="majorHAnsi" w:hAnsiTheme="majorHAnsi" w:cstheme="majorHAnsi"/>
                <w:b/>
                <w:sz w:val="28"/>
                <w:szCs w:val="28"/>
              </w:rPr>
              <w:t>, KMOP</w:t>
            </w:r>
          </w:p>
          <w:p w14:paraId="5AF8CE46" w14:textId="449C0422" w:rsidR="00AA464A" w:rsidRPr="00AA464A" w:rsidRDefault="00AA464A" w:rsidP="00AA464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464A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All'inizio di luglio 2022, i partner sono riusciti a incontrarsi di persona per un</w:t>
            </w:r>
            <w:r w:rsidR="006F43AC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a riunione </w:t>
            </w:r>
            <w:r w:rsidRPr="00AA464A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produttiv</w:t>
            </w:r>
            <w:r w:rsidR="006F43AC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a</w:t>
            </w:r>
            <w:r w:rsidRPr="00AA464A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. Trattandosi del primo incontro faccia a faccia organizzato nel corso del progetto, i partner sono stati davvero felici di incontrarsi per la prima volta. Con l'estensione ufficiale </w:t>
            </w:r>
            <w:r w:rsidR="006F43AC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di</w:t>
            </w:r>
            <w:r w:rsidRPr="00AA464A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sei mesi, i partner hanno definito i prossimi passi del progetto e rivisto i loro programmi di implementazione. Nelle settimane successive, le risorse del progetto saranno tradotte e presto il partenariato procederà con le sperimentazioni. Il prossimo incontro dei partner si terrà a Cipro, nell'autunno del 2022.</w:t>
            </w:r>
          </w:p>
          <w:p w14:paraId="148A137B" w14:textId="5E5C9D8A" w:rsidR="00C16E1F" w:rsidRPr="00AA464A" w:rsidRDefault="00C16E1F" w:rsidP="00AA46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  <w:lang w:val="it-I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8"/>
              <w:gridCol w:w="1653"/>
              <w:gridCol w:w="2733"/>
            </w:tblGrid>
            <w:tr w:rsidR="008F49C4" w14:paraId="27847298" w14:textId="77777777" w:rsidTr="00337ED4">
              <w:tc>
                <w:tcPr>
                  <w:tcW w:w="2948" w:type="dxa"/>
                </w:tcPr>
                <w:p w14:paraId="101A03FE" w14:textId="77777777" w:rsidR="008F49C4" w:rsidRPr="008F49C4" w:rsidRDefault="008F49C4" w:rsidP="00337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  <w:highlight w:val="yellow"/>
                      <w:lang w:val="el-GR"/>
                    </w:rPr>
                  </w:pPr>
                  <w:r w:rsidRPr="008F49C4">
                    <w:rPr>
                      <w:rFonts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7C81D597" wp14:editId="1BEBFF10">
                        <wp:extent cx="1540686" cy="1155700"/>
                        <wp:effectExtent l="0" t="0" r="2540" b="6350"/>
                        <wp:docPr id="5" name="Picture 5" descr="C:\Users\Elena Xeni\Downloads\IMG_14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Elena Xeni\Downloads\IMG_14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282" cy="1164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3" w:type="dxa"/>
                </w:tcPr>
                <w:p w14:paraId="5117E47D" w14:textId="77777777" w:rsidR="00337ED4" w:rsidRDefault="00337ED4" w:rsidP="00337ED4">
                  <w:pPr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</w:p>
                <w:p w14:paraId="1CA5789D" w14:textId="77777777" w:rsidR="00337ED4" w:rsidRDefault="00337ED4" w:rsidP="0049052C">
                  <w:pPr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7A4D05E" wp14:editId="18DA91E6">
                        <wp:extent cx="622300" cy="628650"/>
                        <wp:effectExtent l="0" t="0" r="6350" b="0"/>
                        <wp:docPr id="16" name="Picture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2300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10D36A" w14:textId="77777777" w:rsidR="00337ED4" w:rsidRPr="00C16E1F" w:rsidRDefault="00337ED4" w:rsidP="00337ED4">
                  <w:pPr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</w:p>
                <w:p w14:paraId="078B3BB7" w14:textId="77777777" w:rsidR="008F49C4" w:rsidRPr="008F49C4" w:rsidRDefault="008F49C4" w:rsidP="003F2B0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highlight w:val="yellow"/>
                      <w:lang w:val="el-GR"/>
                    </w:rPr>
                  </w:pPr>
                </w:p>
              </w:tc>
              <w:tc>
                <w:tcPr>
                  <w:tcW w:w="2733" w:type="dxa"/>
                </w:tcPr>
                <w:p w14:paraId="037E836C" w14:textId="77777777" w:rsidR="008F49C4" w:rsidRDefault="008F49C4" w:rsidP="00C55E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  <w:r w:rsidRPr="008E702F">
                    <w:rPr>
                      <w:rFonts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141BDFAD" wp14:editId="0C60AF64">
                        <wp:extent cx="1384300" cy="1180162"/>
                        <wp:effectExtent l="0" t="0" r="6350" b="1270"/>
                        <wp:docPr id="2" name="Picture 2" descr="C:\Users\Elena Xeni\Downloads\IMG_13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Elena Xeni\Downloads\IMG_13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6425" cy="11904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2CF914" w14:textId="77777777" w:rsidR="00C55E73" w:rsidRDefault="00C55E73" w:rsidP="003F2B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B5C2F29" w14:textId="735A5A54" w:rsidR="00B012BE" w:rsidRPr="007F74BD" w:rsidRDefault="008440CB" w:rsidP="00264410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7F74BD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iWell LTTA, 4</w:t>
            </w:r>
            <w:r w:rsidR="007F74BD" w:rsidRPr="007F74BD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 xml:space="preserve"> – 8 luglio</w:t>
            </w:r>
            <w:r w:rsidRPr="007F74BD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 xml:space="preserve"> 2022, At</w:t>
            </w:r>
            <w:r w:rsidR="007F74BD" w:rsidRPr="007F74BD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ene</w:t>
            </w:r>
            <w:r w:rsidRPr="007F74BD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, KMOP</w:t>
            </w:r>
          </w:p>
          <w:p w14:paraId="5C83FA3A" w14:textId="7512B929" w:rsidR="006A7B12" w:rsidRPr="007F74BD" w:rsidRDefault="006F43AC" w:rsidP="007F74B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6F43AC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Tenutosi nella splendida città di Atene e organizzato da KMOP, l</w:t>
            </w:r>
            <w:r w:rsidR="007F74BD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’LTTA (</w:t>
            </w:r>
            <w:r w:rsidR="007F74BD" w:rsidRPr="007F74BD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Learning, Teaching and Training Activities</w:t>
            </w:r>
            <w:r w:rsidR="007F74BD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)</w:t>
            </w:r>
            <w:r w:rsidRPr="006F43AC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ha riunito 10 insegnanti provenienti da tutti i Paesi partner</w:t>
            </w:r>
            <w:r w:rsidR="007F74BD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, ai quali è stato presentato il </w:t>
            </w:r>
            <w:r w:rsidRPr="006F43AC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progetto e </w:t>
            </w:r>
            <w:r w:rsidR="007F74BD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i </w:t>
            </w:r>
            <w:r w:rsidRPr="006F43AC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suoi risultati</w:t>
            </w:r>
            <w:r w:rsidR="007F74BD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. I docenti </w:t>
            </w:r>
            <w:r w:rsidRPr="006F43AC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hanno avuto molto tempo per testare le risorse sviluppate (IO2 - iWell Curriculum; IO3 - iWell Mini-games e IO4 - iWell MOOCs per gli insegnanti). Gli insegnanti partecipanti hanno condiviso commenti incoraggianti sui tentativi </w:t>
            </w:r>
            <w:r w:rsidR="007F74BD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del partenariato</w:t>
            </w:r>
            <w:r w:rsidRPr="006F43AC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di migliorare il benessere digitale, sociale ed emotivo nelle scuole, sottolineando l'importanza di questo progetto per le scuole, le </w:t>
            </w:r>
            <w:r w:rsidR="007F74BD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famiglie</w:t>
            </w:r>
            <w:r w:rsidRPr="006F43AC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e le società. Gli insegnanti-partecipanti sono stati anche introdotti al lavoro della ONG Adolescent Health sulla salute mentale durante </w:t>
            </w:r>
            <w:r w:rsidR="007F74BD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un</w:t>
            </w:r>
            <w:r w:rsidRPr="006F43AC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mini-tour presso la sede dell'organizzazione. Al di là del fitto programma di familiarizzazione con il tema e le </w:t>
            </w:r>
            <w:r w:rsidR="007F74BD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risorse</w:t>
            </w:r>
            <w:r w:rsidRPr="006F43AC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del progetto, gli insegnanti partecipanti hanno visitato la città di Atene e goduto di un memorabile programma culturale in un ambiente stimolante.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7"/>
              <w:gridCol w:w="1664"/>
              <w:gridCol w:w="3003"/>
            </w:tblGrid>
            <w:tr w:rsidR="0049052C" w14:paraId="5ED99917" w14:textId="77777777" w:rsidTr="008F49C4">
              <w:tc>
                <w:tcPr>
                  <w:tcW w:w="2758" w:type="dxa"/>
                </w:tcPr>
                <w:p w14:paraId="4E237662" w14:textId="77777777" w:rsidR="008E702F" w:rsidRDefault="008E702F" w:rsidP="008F49C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/>
                      <w:sz w:val="28"/>
                      <w:szCs w:val="28"/>
                      <w:lang w:val="en-GB"/>
                    </w:rPr>
                  </w:pPr>
                  <w:r w:rsidRPr="006F43AC">
                    <w:rPr>
                      <w:rFonts w:asciiTheme="majorHAnsi" w:hAnsiTheme="majorHAnsi" w:cstheme="majorHAnsi"/>
                      <w:b/>
                      <w:noProof/>
                      <w:sz w:val="28"/>
                      <w:szCs w:val="28"/>
                      <w:lang w:val="it-IT"/>
                    </w:rPr>
                    <w:t xml:space="preserve">       </w:t>
                  </w:r>
                  <w:r w:rsidR="008F49C4" w:rsidRPr="008E702F">
                    <w:rPr>
                      <w:rFonts w:asciiTheme="majorHAnsi" w:hAnsiTheme="majorHAnsi" w:cstheme="majorHAnsi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74354400" wp14:editId="3A7EA870">
                        <wp:extent cx="1270000" cy="1198407"/>
                        <wp:effectExtent l="0" t="0" r="6350" b="1905"/>
                        <wp:docPr id="1" name="Picture 1" descr="C:\Users\Elena Xeni\Downloads\IMG_14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lena Xeni\Downloads\IMG_14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8309" cy="1206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40" w:type="dxa"/>
                </w:tcPr>
                <w:p w14:paraId="41817C59" w14:textId="77777777" w:rsidR="008E702F" w:rsidRDefault="008F49C4" w:rsidP="008F49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lang w:val="en-GB"/>
                    </w:rPr>
                  </w:pPr>
                  <w:r w:rsidRPr="008E702F">
                    <w:rPr>
                      <w:rFonts w:asciiTheme="majorHAnsi" w:hAnsiTheme="majorHAnsi" w:cstheme="majorHAnsi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2810B505" wp14:editId="23FD3C9C">
                        <wp:extent cx="1371916" cy="920112"/>
                        <wp:effectExtent l="0" t="2540" r="0" b="0"/>
                        <wp:docPr id="3" name="Picture 3" descr="C:\Users\Elena Xeni\Downloads\IMG_13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Elena Xeni\Downloads\IMG_13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 flipH="1">
                                  <a:off x="0" y="0"/>
                                  <a:ext cx="1376998" cy="9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36" w:type="dxa"/>
                </w:tcPr>
                <w:p w14:paraId="1F8C27A5" w14:textId="77777777" w:rsidR="008E702F" w:rsidRDefault="008E702F" w:rsidP="008E702F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/>
                      <w:sz w:val="28"/>
                      <w:szCs w:val="28"/>
                      <w:lang w:val="en-GB"/>
                    </w:rPr>
                  </w:pPr>
                  <w:r w:rsidRPr="008E702F">
                    <w:rPr>
                      <w:rFonts w:asciiTheme="majorHAnsi" w:hAnsiTheme="majorHAnsi" w:cstheme="majorHAnsi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450B0490" wp14:editId="52BAE4A0">
                        <wp:extent cx="1666579" cy="1333500"/>
                        <wp:effectExtent l="0" t="0" r="0" b="0"/>
                        <wp:docPr id="4" name="Picture 4" descr="C:\Users\Elena Xeni\Downloads\IMG_14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Elena Xeni\Downloads\IMG_14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7751" cy="1334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CD2F161" w14:textId="77777777" w:rsidR="00B012BE" w:rsidRPr="008E702F" w:rsidRDefault="00B012BE" w:rsidP="008E702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4230" w:type="dxa"/>
          </w:tcPr>
          <w:p w14:paraId="63F3171D" w14:textId="77777777" w:rsidR="00065AC0" w:rsidRPr="00065AC0" w:rsidRDefault="00065AC0" w:rsidP="00065AC0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 w:rsidRPr="00065AC0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 xml:space="preserve">In </w:t>
            </w:r>
            <w:proofErr w:type="spellStart"/>
            <w:r w:rsidRPr="00065AC0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questo</w:t>
            </w:r>
            <w:proofErr w:type="spellEnd"/>
            <w:r w:rsidRPr="00065AC0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65AC0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numero</w:t>
            </w:r>
            <w:proofErr w:type="spellEnd"/>
          </w:p>
          <w:p w14:paraId="71609F83" w14:textId="7F4F6512" w:rsidR="00B012BE" w:rsidRPr="00D5254B" w:rsidRDefault="00D5254B" w:rsidP="0049052C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D5254B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Benvenuti alla terza newsletter di iWell con aggiornamenti </w:t>
            </w:r>
            <w:r w:rsidR="001251BA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sui progressi</w:t>
            </w:r>
            <w:r w:rsidRPr="00D5254B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e sui risultati del progetto</w:t>
            </w:r>
            <w:r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iWell</w:t>
            </w:r>
            <w:r w:rsidRPr="00D5254B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. In questo numero verranno condivise le notizie relative a</w:t>
            </w:r>
            <w:r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l</w:t>
            </w:r>
            <w:r w:rsidRPr="00D5254B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TPM e</w:t>
            </w:r>
            <w:r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l’</w:t>
            </w:r>
            <w:r w:rsidRPr="00D5254B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LTTA</w:t>
            </w:r>
            <w:r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</w:t>
            </w:r>
            <w:r w:rsidRPr="00D5254B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ad Atene</w:t>
            </w:r>
            <w:r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,</w:t>
            </w:r>
            <w:r w:rsidRPr="00D5254B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e verranno </w:t>
            </w:r>
            <w:r w:rsidR="001251BA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condivisi </w:t>
            </w:r>
            <w:r w:rsidRPr="00D5254B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aggiornamenti sul resto dei lavori del progetto.</w:t>
            </w:r>
          </w:p>
        </w:tc>
      </w:tr>
      <w:tr w:rsidR="008F49C4" w:rsidRPr="00366BA7" w14:paraId="7AF4FBE6" w14:textId="77777777" w:rsidTr="006840BD">
        <w:tc>
          <w:tcPr>
            <w:tcW w:w="7560" w:type="dxa"/>
            <w:vMerge/>
          </w:tcPr>
          <w:p w14:paraId="480EFE39" w14:textId="77777777" w:rsidR="00B012BE" w:rsidRPr="00D5254B" w:rsidRDefault="00B012BE" w:rsidP="003F2B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</w:p>
        </w:tc>
        <w:tc>
          <w:tcPr>
            <w:tcW w:w="4230" w:type="dxa"/>
          </w:tcPr>
          <w:p w14:paraId="2F8FA65E" w14:textId="77777777" w:rsidR="00065AC0" w:rsidRPr="00065AC0" w:rsidRDefault="00065AC0" w:rsidP="00065AC0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 w:rsidRPr="00065AC0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 xml:space="preserve">Aggiornamenti </w:t>
            </w:r>
            <w:proofErr w:type="spellStart"/>
            <w:r w:rsidRPr="00065AC0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su</w:t>
            </w:r>
            <w:proofErr w:type="spellEnd"/>
            <w:r w:rsidRPr="00065AC0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 xml:space="preserve"> iWell </w:t>
            </w:r>
          </w:p>
          <w:p w14:paraId="43DFC77E" w14:textId="3DEA598B" w:rsidR="00B012BE" w:rsidRPr="00366BA7" w:rsidRDefault="00366BA7" w:rsidP="0049052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366BA7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Il Consorzio iWell è riuscito a</w:t>
            </w:r>
            <w:r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d elaborare </w:t>
            </w:r>
            <w:r w:rsidRPr="00366BA7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i mini-giochi (IO3), le risorse per i MOOC (IO4) e le linee guida per il kit di strumenti con raccomandazioni </w:t>
            </w:r>
            <w:r w:rsidR="005B5571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per le </w:t>
            </w:r>
            <w:r w:rsidRPr="00366BA7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politiche e</w:t>
            </w:r>
            <w:r w:rsidR="005B5571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le</w:t>
            </w:r>
            <w:r w:rsidRPr="00366BA7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pratiche</w:t>
            </w:r>
            <w:r w:rsidR="005B5571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da adottare nelle scuole</w:t>
            </w:r>
            <w:r w:rsidRPr="00366BA7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(IO5). Ora il partenariato sta preparando le linee guida per</w:t>
            </w:r>
            <w:r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i piloting</w:t>
            </w:r>
            <w:r w:rsidRPr="00366BA7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, dopo la traduzione di tutte le risorse completata durante i mesi estivi.</w:t>
            </w:r>
          </w:p>
        </w:tc>
      </w:tr>
      <w:tr w:rsidR="008F49C4" w:rsidRPr="00065AC0" w14:paraId="2CF43CE0" w14:textId="77777777" w:rsidTr="006840BD">
        <w:tc>
          <w:tcPr>
            <w:tcW w:w="7560" w:type="dxa"/>
            <w:vMerge/>
          </w:tcPr>
          <w:p w14:paraId="23709035" w14:textId="77777777" w:rsidR="00B012BE" w:rsidRPr="00366BA7" w:rsidRDefault="00B012BE" w:rsidP="003F2B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4230" w:type="dxa"/>
          </w:tcPr>
          <w:p w14:paraId="187C3441" w14:textId="77777777" w:rsidR="00065AC0" w:rsidRPr="00F50DE0" w:rsidRDefault="00065AC0" w:rsidP="00065AC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Partenariato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F50DE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iWell </w:t>
            </w:r>
          </w:p>
          <w:p w14:paraId="43417CB4" w14:textId="77777777" w:rsidR="00065AC0" w:rsidRPr="00065AC0" w:rsidRDefault="00065AC0" w:rsidP="00065AC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65AC0">
              <w:rPr>
                <w:rFonts w:asciiTheme="majorHAnsi" w:hAnsiTheme="majorHAnsi" w:cstheme="majorHAnsi"/>
                <w:sz w:val="18"/>
                <w:szCs w:val="18"/>
              </w:rPr>
              <w:t>The Institute of Technology and Development Foundation, Bulgaria (</w:t>
            </w:r>
            <w:proofErr w:type="spellStart"/>
            <w:r w:rsidRPr="00065AC0">
              <w:rPr>
                <w:rFonts w:asciiTheme="majorHAnsi" w:hAnsiTheme="majorHAnsi" w:cstheme="majorHAnsi"/>
                <w:sz w:val="18"/>
                <w:szCs w:val="18"/>
              </w:rPr>
              <w:t>Organizzazione</w:t>
            </w:r>
            <w:proofErr w:type="spellEnd"/>
            <w:r w:rsidRPr="00065AC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65AC0">
              <w:rPr>
                <w:rFonts w:asciiTheme="majorHAnsi" w:hAnsiTheme="majorHAnsi" w:cstheme="majorHAnsi"/>
                <w:sz w:val="18"/>
                <w:szCs w:val="18"/>
              </w:rPr>
              <w:t>Coordinatrice</w:t>
            </w:r>
            <w:proofErr w:type="spellEnd"/>
            <w:r w:rsidRPr="00065AC0">
              <w:rPr>
                <w:rFonts w:asciiTheme="majorHAnsi" w:hAnsiTheme="majorHAnsi" w:cstheme="majorHAnsi"/>
                <w:sz w:val="18"/>
                <w:szCs w:val="18"/>
              </w:rPr>
              <w:t>).</w:t>
            </w:r>
          </w:p>
          <w:p w14:paraId="4259EE84" w14:textId="77777777" w:rsidR="00065AC0" w:rsidRPr="00065AC0" w:rsidRDefault="00065AC0" w:rsidP="00065AC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65AC0">
              <w:rPr>
                <w:rFonts w:asciiTheme="majorHAnsi" w:hAnsiTheme="majorHAnsi" w:cstheme="majorHAnsi"/>
                <w:sz w:val="18"/>
                <w:szCs w:val="18"/>
              </w:rPr>
              <w:t>Cardet – Centre for Advancement of Research and Development in Educational Technology Ltd, Cipro.</w:t>
            </w:r>
          </w:p>
          <w:p w14:paraId="0F2011BA" w14:textId="77777777" w:rsidR="00065AC0" w:rsidRPr="00065AC0" w:rsidRDefault="00065AC0" w:rsidP="00065AC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65AC0">
              <w:rPr>
                <w:rFonts w:asciiTheme="majorHAnsi" w:hAnsiTheme="majorHAnsi" w:cstheme="majorHAnsi"/>
                <w:sz w:val="18"/>
                <w:szCs w:val="18"/>
              </w:rPr>
              <w:t xml:space="preserve">The Rural Hub </w:t>
            </w:r>
            <w:proofErr w:type="spellStart"/>
            <w:r w:rsidRPr="00065AC0">
              <w:rPr>
                <w:rFonts w:asciiTheme="majorHAnsi" w:hAnsiTheme="majorHAnsi" w:cstheme="majorHAnsi"/>
                <w:sz w:val="18"/>
                <w:szCs w:val="18"/>
              </w:rPr>
              <w:t>Clg</w:t>
            </w:r>
            <w:proofErr w:type="spellEnd"/>
            <w:r w:rsidRPr="00065AC0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065AC0">
              <w:rPr>
                <w:rFonts w:asciiTheme="majorHAnsi" w:hAnsiTheme="majorHAnsi" w:cstheme="majorHAnsi"/>
                <w:sz w:val="18"/>
                <w:szCs w:val="18"/>
              </w:rPr>
              <w:t>Irlanda</w:t>
            </w:r>
            <w:proofErr w:type="spellEnd"/>
            <w:r w:rsidRPr="00065AC0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C54C2E4" w14:textId="77777777" w:rsidR="00065AC0" w:rsidRPr="00065AC0" w:rsidRDefault="00065AC0" w:rsidP="00065AC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65AC0">
              <w:rPr>
                <w:rFonts w:asciiTheme="majorHAnsi" w:hAnsiTheme="majorHAnsi" w:cstheme="majorHAnsi"/>
                <w:sz w:val="18"/>
                <w:szCs w:val="18"/>
              </w:rPr>
              <w:t>Cesie</w:t>
            </w:r>
            <w:proofErr w:type="spellEnd"/>
            <w:r w:rsidRPr="00065AC0">
              <w:rPr>
                <w:rFonts w:asciiTheme="majorHAnsi" w:hAnsiTheme="majorHAnsi" w:cstheme="majorHAnsi"/>
                <w:sz w:val="18"/>
                <w:szCs w:val="18"/>
              </w:rPr>
              <w:t>, Italia.</w:t>
            </w:r>
          </w:p>
          <w:p w14:paraId="3AC5991E" w14:textId="77777777" w:rsidR="00065AC0" w:rsidRPr="00065AC0" w:rsidRDefault="00065AC0" w:rsidP="00065AC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065AC0">
              <w:rPr>
                <w:rFonts w:asciiTheme="majorHAnsi" w:hAnsiTheme="majorHAnsi" w:cstheme="majorHAnsi"/>
                <w:sz w:val="18"/>
                <w:szCs w:val="18"/>
              </w:rPr>
              <w:t xml:space="preserve">Innovade Li Ltd, Cipro. </w:t>
            </w:r>
          </w:p>
          <w:p w14:paraId="2D5EE7ED" w14:textId="498FEA24" w:rsidR="00B012BE" w:rsidRPr="00065AC0" w:rsidRDefault="00065AC0" w:rsidP="00065AC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65AC0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Kentro Merimnas Oikogeneias Kai Paidiou, Grecia.</w:t>
            </w:r>
          </w:p>
        </w:tc>
      </w:tr>
      <w:tr w:rsidR="008F49C4" w:rsidRPr="00065AC0" w14:paraId="6A3A9DE9" w14:textId="77777777" w:rsidTr="006840BD">
        <w:tc>
          <w:tcPr>
            <w:tcW w:w="7560" w:type="dxa"/>
            <w:vMerge/>
          </w:tcPr>
          <w:p w14:paraId="30D025AF" w14:textId="77777777" w:rsidR="00B012BE" w:rsidRPr="00065AC0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  <w:tc>
          <w:tcPr>
            <w:tcW w:w="4230" w:type="dxa"/>
          </w:tcPr>
          <w:p w14:paraId="3C4268EA" w14:textId="77777777" w:rsidR="00B012BE" w:rsidRPr="00065AC0" w:rsidRDefault="006840BD" w:rsidP="00F50DE0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6E19F92" wp14:editId="78B38EE2">
                  <wp:simplePos x="0" y="0"/>
                  <wp:positionH relativeFrom="page">
                    <wp:posOffset>686435</wp:posOffset>
                  </wp:positionH>
                  <wp:positionV relativeFrom="page">
                    <wp:posOffset>80645</wp:posOffset>
                  </wp:positionV>
                  <wp:extent cx="1264920" cy="1090133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d document_cover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09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BFB7A4" w14:textId="77777777" w:rsidR="00B012BE" w:rsidRPr="00065AC0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07F4F83B" w14:textId="77777777" w:rsidR="00B012BE" w:rsidRPr="00065AC0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5BE3A741" w14:textId="77777777" w:rsidR="00B012BE" w:rsidRPr="00065AC0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47944ED1" w14:textId="77777777" w:rsidR="00B012BE" w:rsidRPr="00065AC0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  <w:p w14:paraId="1FA0787A" w14:textId="77777777" w:rsidR="00B012BE" w:rsidRPr="00065AC0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</w:tr>
      <w:tr w:rsidR="008F49C4" w:rsidRPr="008123E7" w14:paraId="187F066E" w14:textId="77777777" w:rsidTr="006840BD">
        <w:tc>
          <w:tcPr>
            <w:tcW w:w="7560" w:type="dxa"/>
            <w:vMerge/>
          </w:tcPr>
          <w:p w14:paraId="65C8D952" w14:textId="77777777" w:rsidR="00B012BE" w:rsidRPr="00065AC0" w:rsidRDefault="00B012BE" w:rsidP="00F50DE0">
            <w:pPr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</w:tc>
        <w:tc>
          <w:tcPr>
            <w:tcW w:w="4230" w:type="dxa"/>
          </w:tcPr>
          <w:p w14:paraId="53473FEE" w14:textId="77777777" w:rsidR="00065AC0" w:rsidRPr="00065AC0" w:rsidRDefault="00065AC0" w:rsidP="00065AC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it-IT"/>
              </w:rPr>
            </w:pPr>
            <w:r w:rsidRPr="00065AC0">
              <w:rPr>
                <w:rFonts w:asciiTheme="majorHAnsi" w:hAnsiTheme="majorHAnsi" w:cstheme="majorHAnsi"/>
                <w:b/>
                <w:sz w:val="18"/>
                <w:szCs w:val="18"/>
                <w:lang w:val="it-IT"/>
              </w:rPr>
              <w:t>Rimani connesso a iWell</w:t>
            </w:r>
          </w:p>
          <w:p w14:paraId="6F6C6B7E" w14:textId="77777777" w:rsidR="00065AC0" w:rsidRPr="00065AC0" w:rsidRDefault="00065AC0" w:rsidP="00065AC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it-IT"/>
              </w:rPr>
            </w:pPr>
            <w:r w:rsidRPr="00065AC0">
              <w:rPr>
                <w:rFonts w:asciiTheme="majorHAnsi" w:hAnsiTheme="majorHAnsi" w:cstheme="majorHAnsi"/>
                <w:b/>
                <w:sz w:val="18"/>
                <w:szCs w:val="18"/>
                <w:lang w:val="it-IT"/>
              </w:rPr>
              <w:t>Sito Web iWell:</w:t>
            </w:r>
          </w:p>
          <w:p w14:paraId="2D64BF67" w14:textId="54595A9B" w:rsidR="00065AC0" w:rsidRPr="00065AC0" w:rsidRDefault="00697F3B" w:rsidP="00065AC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hyperlink r:id="rId13" w:history="1">
              <w:r w:rsidR="00065AC0" w:rsidRPr="0024696E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</w:rPr>
                <w:t>https://iwellproject.eu/</w:t>
              </w:r>
            </w:hyperlink>
            <w:r w:rsidR="00065AC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0D0FAB5C" w14:textId="77777777" w:rsidR="00065AC0" w:rsidRPr="00065AC0" w:rsidRDefault="00065AC0" w:rsidP="00065AC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D2DB334" w14:textId="77777777" w:rsidR="00065AC0" w:rsidRPr="00065AC0" w:rsidRDefault="00065AC0" w:rsidP="00065AC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065AC0">
              <w:rPr>
                <w:rFonts w:asciiTheme="majorHAnsi" w:hAnsiTheme="majorHAnsi" w:cstheme="majorHAnsi"/>
                <w:b/>
                <w:sz w:val="18"/>
                <w:szCs w:val="18"/>
              </w:rPr>
              <w:t>Pagina</w:t>
            </w:r>
            <w:proofErr w:type="spellEnd"/>
            <w:r w:rsidRPr="00065AC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Facebook iWell: </w:t>
            </w:r>
          </w:p>
          <w:p w14:paraId="4B9E71C2" w14:textId="45BB5910" w:rsidR="00B012BE" w:rsidRPr="0049052C" w:rsidRDefault="00697F3B" w:rsidP="00065AC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hyperlink r:id="rId14" w:history="1">
              <w:r w:rsidR="00065AC0" w:rsidRPr="0024696E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</w:rPr>
                <w:t>https://www.facebook.com/IWell-107756454714838//</w:t>
              </w:r>
            </w:hyperlink>
            <w:r w:rsidR="00065AC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</w:tbl>
    <w:p w14:paraId="5C267377" w14:textId="77777777" w:rsidR="00F50DE0" w:rsidRDefault="005C4416" w:rsidP="00F50DE0">
      <w:pPr>
        <w:spacing w:after="0" w:line="240" w:lineRule="auto"/>
      </w:pPr>
      <w:r w:rsidRPr="00832EAA">
        <w:rPr>
          <w:rFonts w:ascii="Arial Narrow" w:hAnsi="Arial Narrow"/>
          <w:noProof/>
          <w:color w:val="808080" w:themeColor="background1" w:themeShade="80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B7D750E" wp14:editId="370064CA">
            <wp:simplePos x="0" y="0"/>
            <wp:positionH relativeFrom="column">
              <wp:posOffset>-208915</wp:posOffset>
            </wp:positionH>
            <wp:positionV relativeFrom="paragraph">
              <wp:posOffset>97790</wp:posOffset>
            </wp:positionV>
            <wp:extent cx="1732915" cy="495300"/>
            <wp:effectExtent l="0" t="0" r="0" b="0"/>
            <wp:wrapTight wrapText="bothSides">
              <wp:wrapPolygon edited="0">
                <wp:start x="475" y="1662"/>
                <wp:lineTo x="475" y="18277"/>
                <wp:lineTo x="13297" y="19938"/>
                <wp:lineTo x="14247" y="19938"/>
                <wp:lineTo x="20896" y="18277"/>
                <wp:lineTo x="20658" y="11631"/>
                <wp:lineTo x="18521" y="4985"/>
                <wp:lineTo x="16384" y="1662"/>
                <wp:lineTo x="475" y="1662"/>
              </wp:wrapPolygon>
            </wp:wrapTight>
            <wp:docPr id="17" name="Picture 4" descr="C:\Users\Alex\Desktop\Loghi progetto\Erasmus+\eu_flag_co_funded_vect_pos_[cmyk]_right-[Convertito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Alex\Desktop\Loghi progetto\Erasmus+\eu_flag_co_funded_vect_pos_[cmyk]_right-[Convertito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D35AB" w14:textId="4CAB2950" w:rsidR="00337ED4" w:rsidRPr="00065AC0" w:rsidRDefault="00065AC0" w:rsidP="00065AC0">
      <w:pPr>
        <w:pStyle w:val="Footer"/>
        <w:ind w:left="2520"/>
        <w:jc w:val="both"/>
        <w:rPr>
          <w:rFonts w:ascii="Arial Narrow" w:hAnsi="Arial Narrow"/>
          <w:color w:val="808080" w:themeColor="background1" w:themeShade="80"/>
          <w:sz w:val="18"/>
          <w:szCs w:val="18"/>
          <w:lang w:val="it-IT"/>
        </w:rPr>
      </w:pPr>
      <w:r w:rsidRPr="00065AC0">
        <w:rPr>
          <w:rFonts w:ascii="Arial Narrow" w:hAnsi="Arial Narrow"/>
          <w:color w:val="808080" w:themeColor="background1" w:themeShade="80"/>
          <w:sz w:val="18"/>
          <w:szCs w:val="18"/>
          <w:lang w:val="it-IT"/>
        </w:rPr>
        <w:t>Il sostegno della Commissione europea alla produzione di questa pubblicazione</w:t>
      </w:r>
      <w:r>
        <w:rPr>
          <w:rFonts w:ascii="Arial Narrow" w:hAnsi="Arial Narrow"/>
          <w:color w:val="808080" w:themeColor="background1" w:themeShade="80"/>
          <w:sz w:val="18"/>
          <w:szCs w:val="18"/>
          <w:lang w:val="it-IT"/>
        </w:rPr>
        <w:t xml:space="preserve"> </w:t>
      </w:r>
      <w:r w:rsidRPr="00065AC0">
        <w:rPr>
          <w:rFonts w:ascii="Arial Narrow" w:hAnsi="Arial Narrow"/>
          <w:color w:val="808080" w:themeColor="background1" w:themeShade="80"/>
          <w:sz w:val="18"/>
          <w:szCs w:val="18"/>
          <w:lang w:val="it-IT"/>
        </w:rPr>
        <w:t>non costituisce un'approvazione del contenuto, che riflette esclusivamente il punto</w:t>
      </w:r>
      <w:r>
        <w:rPr>
          <w:rFonts w:ascii="Arial Narrow" w:hAnsi="Arial Narrow"/>
          <w:color w:val="808080" w:themeColor="background1" w:themeShade="80"/>
          <w:sz w:val="18"/>
          <w:szCs w:val="18"/>
          <w:lang w:val="it-IT"/>
        </w:rPr>
        <w:t xml:space="preserve"> </w:t>
      </w:r>
      <w:r w:rsidRPr="00065AC0">
        <w:rPr>
          <w:rFonts w:ascii="Arial Narrow" w:hAnsi="Arial Narrow"/>
          <w:color w:val="808080" w:themeColor="background1" w:themeShade="80"/>
          <w:sz w:val="18"/>
          <w:szCs w:val="18"/>
          <w:lang w:val="it-IT"/>
        </w:rPr>
        <w:t>di vista degli autori, e la</w:t>
      </w:r>
      <w:r>
        <w:rPr>
          <w:rFonts w:ascii="Arial Narrow" w:hAnsi="Arial Narrow"/>
          <w:color w:val="808080" w:themeColor="background1" w:themeShade="80"/>
          <w:sz w:val="18"/>
          <w:szCs w:val="18"/>
          <w:lang w:val="it-IT"/>
        </w:rPr>
        <w:t xml:space="preserve"> </w:t>
      </w:r>
      <w:r w:rsidRPr="00065AC0">
        <w:rPr>
          <w:rFonts w:ascii="Arial Narrow" w:hAnsi="Arial Narrow"/>
          <w:color w:val="808080" w:themeColor="background1" w:themeShade="80"/>
          <w:sz w:val="18"/>
          <w:szCs w:val="18"/>
          <w:lang w:val="it-IT"/>
        </w:rPr>
        <w:t>Commissione non può essere ritenuta responsabile per</w:t>
      </w:r>
      <w:r>
        <w:rPr>
          <w:rFonts w:ascii="Arial Narrow" w:hAnsi="Arial Narrow"/>
          <w:color w:val="808080" w:themeColor="background1" w:themeShade="80"/>
          <w:sz w:val="18"/>
          <w:szCs w:val="18"/>
          <w:lang w:val="it-IT"/>
        </w:rPr>
        <w:t xml:space="preserve"> </w:t>
      </w:r>
      <w:r w:rsidRPr="00065AC0">
        <w:rPr>
          <w:rFonts w:ascii="Arial Narrow" w:hAnsi="Arial Narrow"/>
          <w:color w:val="808080" w:themeColor="background1" w:themeShade="80"/>
          <w:sz w:val="18"/>
          <w:szCs w:val="18"/>
          <w:lang w:val="it-IT"/>
        </w:rPr>
        <w:t>l'uso che può essere fatto delle informazioni ivi contenute.</w:t>
      </w:r>
    </w:p>
    <w:p w14:paraId="28E0AA67" w14:textId="77777777" w:rsidR="00337ED4" w:rsidRPr="00065AC0" w:rsidRDefault="00337ED4" w:rsidP="00F50DE0">
      <w:pPr>
        <w:pStyle w:val="Footer"/>
        <w:ind w:left="2520"/>
        <w:rPr>
          <w:rFonts w:ascii="Arial Narrow" w:hAnsi="Arial Narrow"/>
          <w:color w:val="808080" w:themeColor="background1" w:themeShade="80"/>
          <w:sz w:val="18"/>
          <w:szCs w:val="18"/>
          <w:lang w:val="it-IT"/>
        </w:rPr>
      </w:pPr>
    </w:p>
    <w:p w14:paraId="4DF5FD9F" w14:textId="77777777" w:rsidR="00337ED4" w:rsidRPr="00065AC0" w:rsidRDefault="00337ED4" w:rsidP="00F50DE0">
      <w:pPr>
        <w:pStyle w:val="Footer"/>
        <w:ind w:left="2520"/>
        <w:rPr>
          <w:rFonts w:ascii="Arial Narrow" w:hAnsi="Arial Narrow"/>
          <w:sz w:val="18"/>
          <w:szCs w:val="18"/>
          <w:lang w:val="it-IT"/>
        </w:rPr>
      </w:pPr>
    </w:p>
    <w:p w14:paraId="710F8C2F" w14:textId="77777777" w:rsidR="008C5FAE" w:rsidRPr="00065AC0" w:rsidRDefault="008C5FAE" w:rsidP="00F50DE0">
      <w:pPr>
        <w:spacing w:after="0" w:line="240" w:lineRule="auto"/>
        <w:rPr>
          <w:b/>
          <w:lang w:val="it-IT"/>
        </w:rPr>
      </w:pPr>
    </w:p>
    <w:sectPr w:rsidR="008C5FAE" w:rsidRPr="00065AC0" w:rsidSect="00337ED4">
      <w:headerReference w:type="default" r:id="rId16"/>
      <w:pgSz w:w="12240" w:h="15840"/>
      <w:pgMar w:top="1418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A8934" w14:textId="77777777" w:rsidR="00697F3B" w:rsidRDefault="00697F3B" w:rsidP="00F50DE0">
      <w:pPr>
        <w:spacing w:after="0" w:line="240" w:lineRule="auto"/>
      </w:pPr>
      <w:r>
        <w:separator/>
      </w:r>
    </w:p>
  </w:endnote>
  <w:endnote w:type="continuationSeparator" w:id="0">
    <w:p w14:paraId="37A1BF82" w14:textId="77777777" w:rsidR="00697F3B" w:rsidRDefault="00697F3B" w:rsidP="00F5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88AD2" w14:textId="77777777" w:rsidR="00697F3B" w:rsidRDefault="00697F3B" w:rsidP="00F50DE0">
      <w:pPr>
        <w:spacing w:after="0" w:line="240" w:lineRule="auto"/>
      </w:pPr>
      <w:r>
        <w:separator/>
      </w:r>
    </w:p>
  </w:footnote>
  <w:footnote w:type="continuationSeparator" w:id="0">
    <w:p w14:paraId="72F5BE46" w14:textId="77777777" w:rsidR="00697F3B" w:rsidRDefault="00697F3B" w:rsidP="00F5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E3F12" w14:textId="77777777" w:rsidR="00F50DE0" w:rsidRDefault="00F50DE0">
    <w:pPr>
      <w:pStyle w:val="Header"/>
    </w:pPr>
    <w:r w:rsidRPr="00F50DE0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67B304A3" wp14:editId="59C5BFD9">
          <wp:simplePos x="0" y="0"/>
          <wp:positionH relativeFrom="column">
            <wp:posOffset>-822960</wp:posOffset>
          </wp:positionH>
          <wp:positionV relativeFrom="paragraph">
            <wp:posOffset>-281940</wp:posOffset>
          </wp:positionV>
          <wp:extent cx="7614285" cy="1150620"/>
          <wp:effectExtent l="0" t="0" r="5715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285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36F"/>
    <w:multiLevelType w:val="hybridMultilevel"/>
    <w:tmpl w:val="2CEA8072"/>
    <w:lvl w:ilvl="0" w:tplc="B6CC3C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D75"/>
    <w:multiLevelType w:val="hybridMultilevel"/>
    <w:tmpl w:val="1A94D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D4513"/>
    <w:multiLevelType w:val="hybridMultilevel"/>
    <w:tmpl w:val="1A94D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B50BF"/>
    <w:multiLevelType w:val="hybridMultilevel"/>
    <w:tmpl w:val="10B8B5B4"/>
    <w:lvl w:ilvl="0" w:tplc="45E27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89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6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C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22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69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CB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8A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1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BC7641"/>
    <w:multiLevelType w:val="hybridMultilevel"/>
    <w:tmpl w:val="E52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A4CA3"/>
    <w:multiLevelType w:val="hybridMultilevel"/>
    <w:tmpl w:val="8C9CA26C"/>
    <w:lvl w:ilvl="0" w:tplc="DEEED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618E1"/>
    <w:multiLevelType w:val="hybridMultilevel"/>
    <w:tmpl w:val="5B123C24"/>
    <w:lvl w:ilvl="0" w:tplc="A7E44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29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AF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06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06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04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85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A8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69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82"/>
    <w:rsid w:val="0002316C"/>
    <w:rsid w:val="00065AC0"/>
    <w:rsid w:val="001251BA"/>
    <w:rsid w:val="001B3D75"/>
    <w:rsid w:val="00264410"/>
    <w:rsid w:val="002B7AEC"/>
    <w:rsid w:val="00323582"/>
    <w:rsid w:val="00330CB5"/>
    <w:rsid w:val="00337ED4"/>
    <w:rsid w:val="00362D27"/>
    <w:rsid w:val="00366BA7"/>
    <w:rsid w:val="003872B6"/>
    <w:rsid w:val="003F2B06"/>
    <w:rsid w:val="0049052C"/>
    <w:rsid w:val="00500810"/>
    <w:rsid w:val="00594A22"/>
    <w:rsid w:val="005B5571"/>
    <w:rsid w:val="005C4416"/>
    <w:rsid w:val="006840BD"/>
    <w:rsid w:val="00697F3B"/>
    <w:rsid w:val="006A7B12"/>
    <w:rsid w:val="006D76B8"/>
    <w:rsid w:val="006F17B1"/>
    <w:rsid w:val="006F43AC"/>
    <w:rsid w:val="007F74BD"/>
    <w:rsid w:val="007F79B0"/>
    <w:rsid w:val="008123E7"/>
    <w:rsid w:val="008440CB"/>
    <w:rsid w:val="00875044"/>
    <w:rsid w:val="008C5FAE"/>
    <w:rsid w:val="008E702F"/>
    <w:rsid w:val="008F49C4"/>
    <w:rsid w:val="00982367"/>
    <w:rsid w:val="009C57B0"/>
    <w:rsid w:val="009D5547"/>
    <w:rsid w:val="00A8667A"/>
    <w:rsid w:val="00AA464A"/>
    <w:rsid w:val="00B012BE"/>
    <w:rsid w:val="00B6230D"/>
    <w:rsid w:val="00BA6F64"/>
    <w:rsid w:val="00C16E1F"/>
    <w:rsid w:val="00C55E73"/>
    <w:rsid w:val="00C67864"/>
    <w:rsid w:val="00C87765"/>
    <w:rsid w:val="00D5254B"/>
    <w:rsid w:val="00DD0D70"/>
    <w:rsid w:val="00E81D6D"/>
    <w:rsid w:val="00F50DE0"/>
    <w:rsid w:val="00F74C50"/>
    <w:rsid w:val="00F8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39DF"/>
  <w15:chartTrackingRefBased/>
  <w15:docId w15:val="{083FA4C9-1D6B-4FA3-9D9B-037F502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B1"/>
    <w:pPr>
      <w:ind w:left="720"/>
      <w:contextualSpacing/>
    </w:pPr>
  </w:style>
  <w:style w:type="table" w:styleId="TableGrid">
    <w:name w:val="Table Grid"/>
    <w:basedOn w:val="TableNormal"/>
    <w:uiPriority w:val="39"/>
    <w:rsid w:val="0081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C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E0"/>
  </w:style>
  <w:style w:type="paragraph" w:styleId="Header">
    <w:name w:val="header"/>
    <w:basedOn w:val="Normal"/>
    <w:link w:val="HeaderChar"/>
    <w:uiPriority w:val="99"/>
    <w:unhideWhenUsed/>
    <w:rsid w:val="00F5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E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8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wellproject.e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IWell-107756454714838/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Xeni</dc:creator>
  <cp:keywords/>
  <dc:description/>
  <cp:lastModifiedBy>Elena Xeni</cp:lastModifiedBy>
  <cp:revision>2</cp:revision>
  <dcterms:created xsi:type="dcterms:W3CDTF">2023-01-12T14:14:00Z</dcterms:created>
  <dcterms:modified xsi:type="dcterms:W3CDTF">2023-01-12T14:14:00Z</dcterms:modified>
</cp:coreProperties>
</file>