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E7" w:rsidRPr="00F50DE0" w:rsidRDefault="008123E7" w:rsidP="00F50DE0">
      <w:pPr>
        <w:spacing w:after="0" w:line="240" w:lineRule="auto"/>
        <w:jc w:val="center"/>
        <w:rPr>
          <w:rFonts w:asciiTheme="majorHAnsi" w:hAnsiTheme="majorHAnsi" w:cstheme="majorHAnsi"/>
          <w:b/>
          <w:bCs/>
          <w:sz w:val="32"/>
          <w:szCs w:val="32"/>
        </w:rPr>
      </w:pPr>
      <w:proofErr w:type="gramStart"/>
      <w:r w:rsidRPr="00F50DE0">
        <w:rPr>
          <w:rFonts w:asciiTheme="majorHAnsi" w:hAnsiTheme="majorHAnsi" w:cstheme="majorHAnsi"/>
          <w:b/>
          <w:bCs/>
          <w:sz w:val="32"/>
          <w:szCs w:val="32"/>
        </w:rPr>
        <w:t>iWell</w:t>
      </w:r>
      <w:proofErr w:type="gramEnd"/>
      <w:r w:rsidRPr="00F50DE0">
        <w:rPr>
          <w:rFonts w:asciiTheme="majorHAnsi" w:hAnsiTheme="majorHAnsi" w:cstheme="majorHAnsi"/>
          <w:b/>
          <w:bCs/>
          <w:sz w:val="32"/>
          <w:szCs w:val="32"/>
        </w:rPr>
        <w:t xml:space="preserve"> – Enhancing the Digital and Social Well-being in Schools</w:t>
      </w:r>
    </w:p>
    <w:p w:rsidR="00F50DE0" w:rsidRPr="00F50DE0" w:rsidRDefault="00F50DE0" w:rsidP="00F50DE0">
      <w:pPr>
        <w:spacing w:after="0" w:line="240" w:lineRule="auto"/>
        <w:jc w:val="center"/>
        <w:rPr>
          <w:rFonts w:asciiTheme="majorHAnsi" w:eastAsia="Calibri" w:hAnsiTheme="majorHAnsi" w:cstheme="majorHAnsi"/>
          <w:sz w:val="24"/>
          <w:szCs w:val="24"/>
          <w:lang w:val="en-GB"/>
        </w:rPr>
      </w:pPr>
      <w:r w:rsidRPr="00F50DE0">
        <w:rPr>
          <w:rFonts w:asciiTheme="majorHAnsi" w:eastAsia="Calibri" w:hAnsiTheme="majorHAnsi" w:cstheme="majorHAnsi"/>
          <w:sz w:val="24"/>
          <w:szCs w:val="24"/>
          <w:lang w:val="en-GB"/>
        </w:rPr>
        <w:t>[PROJECT NUMBER: 2020-1-BG01-KA201-079041]</w:t>
      </w:r>
    </w:p>
    <w:p w:rsidR="00F50DE0" w:rsidRPr="00F50DE0" w:rsidRDefault="00F50DE0" w:rsidP="00F50DE0">
      <w:pPr>
        <w:spacing w:after="0" w:line="240" w:lineRule="auto"/>
        <w:jc w:val="center"/>
        <w:rPr>
          <w:rFonts w:asciiTheme="majorHAnsi" w:hAnsiTheme="majorHAnsi" w:cstheme="majorHAnsi"/>
          <w:b/>
          <w:bCs/>
          <w:sz w:val="16"/>
          <w:szCs w:val="16"/>
        </w:rPr>
      </w:pPr>
    </w:p>
    <w:p w:rsidR="008123E7" w:rsidRPr="008123E7" w:rsidRDefault="00264410" w:rsidP="00F50DE0">
      <w:pPr>
        <w:spacing w:after="0" w:line="240" w:lineRule="auto"/>
        <w:jc w:val="center"/>
        <w:rPr>
          <w:rFonts w:asciiTheme="majorHAnsi" w:hAnsiTheme="majorHAnsi" w:cstheme="majorHAnsi"/>
          <w:b/>
          <w:bCs/>
          <w:sz w:val="32"/>
          <w:szCs w:val="32"/>
        </w:rPr>
      </w:pPr>
      <w:r>
        <w:rPr>
          <w:rFonts w:asciiTheme="majorHAnsi" w:hAnsiTheme="majorHAnsi" w:cstheme="majorHAnsi"/>
          <w:b/>
          <w:bCs/>
          <w:sz w:val="32"/>
          <w:szCs w:val="32"/>
        </w:rPr>
        <w:t>Newsletter 2</w:t>
      </w:r>
    </w:p>
    <w:p w:rsidR="008123E7" w:rsidRPr="00F50DE0" w:rsidRDefault="008123E7" w:rsidP="00F50DE0">
      <w:pPr>
        <w:spacing w:after="0" w:line="240" w:lineRule="auto"/>
        <w:rPr>
          <w:rFonts w:asciiTheme="majorHAnsi" w:hAnsiTheme="majorHAnsi" w:cstheme="majorHAnsi"/>
          <w:bCs/>
          <w:sz w:val="16"/>
          <w:szCs w:val="16"/>
        </w:rPr>
      </w:pPr>
    </w:p>
    <w:tbl>
      <w:tblPr>
        <w:tblStyle w:val="TableGrid"/>
        <w:tblW w:w="11790" w:type="dxa"/>
        <w:tblInd w:w="-1175" w:type="dxa"/>
        <w:tblLook w:val="04A0" w:firstRow="1" w:lastRow="0" w:firstColumn="1" w:lastColumn="0" w:noHBand="0" w:noVBand="1"/>
      </w:tblPr>
      <w:tblGrid>
        <w:gridCol w:w="7560"/>
        <w:gridCol w:w="4230"/>
      </w:tblGrid>
      <w:tr w:rsidR="00B012BE" w:rsidRPr="008123E7" w:rsidTr="006840BD">
        <w:tc>
          <w:tcPr>
            <w:tcW w:w="7560" w:type="dxa"/>
            <w:vMerge w:val="restart"/>
          </w:tcPr>
          <w:p w:rsidR="00B012BE" w:rsidRPr="00F50DE0" w:rsidRDefault="00B012BE" w:rsidP="00F50DE0">
            <w:pPr>
              <w:rPr>
                <w:rFonts w:asciiTheme="majorHAnsi" w:hAnsiTheme="majorHAnsi" w:cstheme="majorHAnsi"/>
                <w:b/>
                <w:sz w:val="28"/>
                <w:szCs w:val="28"/>
              </w:rPr>
            </w:pPr>
            <w:r>
              <w:rPr>
                <w:rFonts w:asciiTheme="majorHAnsi" w:hAnsiTheme="majorHAnsi" w:cstheme="majorHAnsi"/>
                <w:b/>
                <w:sz w:val="28"/>
                <w:szCs w:val="28"/>
              </w:rPr>
              <w:t>iWell Curriculum</w:t>
            </w:r>
          </w:p>
          <w:p w:rsidR="00B012BE" w:rsidRPr="00B012BE" w:rsidRDefault="00B012BE" w:rsidP="0090560F">
            <w:pPr>
              <w:autoSpaceDE w:val="0"/>
              <w:autoSpaceDN w:val="0"/>
              <w:adjustRightInd w:val="0"/>
              <w:jc w:val="both"/>
              <w:rPr>
                <w:rFonts w:eastAsia="FreeSans" w:cstheme="minorHAnsi"/>
                <w:sz w:val="20"/>
                <w:szCs w:val="20"/>
              </w:rPr>
            </w:pPr>
            <w:r w:rsidRPr="00B012BE">
              <w:rPr>
                <w:rFonts w:cstheme="minorHAnsi"/>
                <w:sz w:val="20"/>
                <w:szCs w:val="20"/>
              </w:rPr>
              <w:t xml:space="preserve">In early 2022, partners succeeded in developing the project’s Curriculum. Led by KMOP, Greece, following research that was conducted nationally and transnationally, the </w:t>
            </w:r>
            <w:r w:rsidRPr="00B012BE">
              <w:rPr>
                <w:rFonts w:eastAsia="FreeSans" w:cstheme="minorHAnsi"/>
                <w:sz w:val="20"/>
                <w:szCs w:val="20"/>
              </w:rPr>
              <w:t>iWell bespoke Curriculum ai</w:t>
            </w:r>
            <w:bookmarkStart w:id="0" w:name="_GoBack"/>
            <w:bookmarkEnd w:id="0"/>
            <w:r w:rsidRPr="00B012BE">
              <w:rPr>
                <w:rFonts w:eastAsia="FreeSans" w:cstheme="minorHAnsi"/>
                <w:sz w:val="20"/>
                <w:szCs w:val="20"/>
              </w:rPr>
              <w:t>ms at supporting and building the capacity of educators in becoming “active health agents” to promote the health literacy and social well-being of their students.</w:t>
            </w:r>
          </w:p>
          <w:p w:rsidR="00B012BE" w:rsidRPr="00B012BE" w:rsidRDefault="00B012BE" w:rsidP="0090560F">
            <w:pPr>
              <w:jc w:val="both"/>
              <w:rPr>
                <w:rFonts w:cstheme="minorHAnsi"/>
                <w:sz w:val="20"/>
                <w:szCs w:val="20"/>
              </w:rPr>
            </w:pPr>
          </w:p>
          <w:p w:rsidR="00B012BE" w:rsidRPr="00B012BE" w:rsidRDefault="0052206B" w:rsidP="00B012BE">
            <w:pPr>
              <w:ind w:hanging="2"/>
              <w:jc w:val="both"/>
              <w:rPr>
                <w:rFonts w:cstheme="minorHAnsi"/>
                <w:sz w:val="20"/>
                <w:szCs w:val="20"/>
                <w:lang w:val="en-GB"/>
              </w:rPr>
            </w:pPr>
            <w:r>
              <w:rPr>
                <w:rFonts w:cstheme="minorHAnsi"/>
                <w:sz w:val="20"/>
                <w:szCs w:val="20"/>
                <w:lang w:val="en-GB"/>
              </w:rPr>
              <w:t>The Curriculum is suitable for</w:t>
            </w:r>
            <w:r w:rsidR="00B012BE" w:rsidRPr="00B012BE">
              <w:rPr>
                <w:rFonts w:cstheme="minorHAnsi"/>
                <w:sz w:val="20"/>
                <w:szCs w:val="20"/>
                <w:lang w:val="en-GB"/>
              </w:rPr>
              <w:t xml:space="preserve"> educators who teach pupils aged 6 – 12 and is informed by the latest, most effective and innovative teaching practices and educational approaches, including ICT tools. It entails the content developed to address the needs of teachers in primary education using a “skills-based health education” approach, providing them with the necessary skills to enhance students’ key life skills with regard to making healthy and informed decisions when online. Following the identification of educators’ learning and curriculum needs through questionnaires and focus groups conducted in five partner countries</w:t>
            </w:r>
            <w:r w:rsidR="00DE7154">
              <w:rPr>
                <w:rFonts w:cstheme="minorHAnsi"/>
                <w:sz w:val="20"/>
                <w:szCs w:val="20"/>
                <w:lang w:val="en-GB"/>
              </w:rPr>
              <w:t>,</w:t>
            </w:r>
            <w:r w:rsidR="00B012BE" w:rsidRPr="00B012BE">
              <w:rPr>
                <w:rFonts w:cstheme="minorHAnsi"/>
                <w:sz w:val="20"/>
                <w:szCs w:val="20"/>
                <w:lang w:val="en-GB"/>
              </w:rPr>
              <w:t xml:space="preserve"> the main themes that emerged were emotional, social and digital well-being as well as their related sub-topics. Thus, the material includes the following three modules, each of which includes three interconnected lesson plans:</w:t>
            </w:r>
            <w:r w:rsidR="00B012BE">
              <w:rPr>
                <w:rFonts w:cstheme="minorHAnsi"/>
                <w:sz w:val="20"/>
                <w:szCs w:val="20"/>
                <w:lang w:val="en-GB"/>
              </w:rPr>
              <w:t xml:space="preserve"> </w:t>
            </w:r>
          </w:p>
          <w:p w:rsidR="00B012BE" w:rsidRPr="00B012BE" w:rsidRDefault="00B012BE" w:rsidP="00F7451E">
            <w:pPr>
              <w:pStyle w:val="ListParagraph"/>
              <w:numPr>
                <w:ilvl w:val="0"/>
                <w:numId w:val="8"/>
              </w:numPr>
              <w:jc w:val="both"/>
              <w:rPr>
                <w:rFonts w:cstheme="minorHAnsi"/>
                <w:sz w:val="20"/>
                <w:szCs w:val="20"/>
                <w:lang w:val="en-GB"/>
              </w:rPr>
            </w:pPr>
            <w:r w:rsidRPr="00B012BE">
              <w:rPr>
                <w:rFonts w:cstheme="minorHAnsi"/>
                <w:sz w:val="20"/>
                <w:szCs w:val="20"/>
                <w:lang w:val="en-GB"/>
              </w:rPr>
              <w:t>Module 1: Emotional Well-Being</w:t>
            </w:r>
            <w:r>
              <w:rPr>
                <w:rFonts w:cstheme="minorHAnsi"/>
                <w:sz w:val="20"/>
                <w:szCs w:val="20"/>
                <w:lang w:val="en-GB"/>
              </w:rPr>
              <w:t xml:space="preserve">: </w:t>
            </w:r>
            <w:r w:rsidRPr="00B012BE">
              <w:rPr>
                <w:rFonts w:cstheme="minorHAnsi"/>
                <w:sz w:val="20"/>
                <w:szCs w:val="20"/>
                <w:lang w:val="en-GB"/>
              </w:rPr>
              <w:t>Emotion Regulation and Resilience</w:t>
            </w:r>
            <w:r>
              <w:rPr>
                <w:rFonts w:cstheme="minorHAnsi"/>
                <w:sz w:val="20"/>
                <w:szCs w:val="20"/>
                <w:lang w:val="en-GB"/>
              </w:rPr>
              <w:t xml:space="preserve">, </w:t>
            </w:r>
            <w:r w:rsidRPr="00B012BE">
              <w:rPr>
                <w:rFonts w:cstheme="minorHAnsi"/>
                <w:sz w:val="20"/>
                <w:szCs w:val="20"/>
                <w:lang w:val="en-GB"/>
              </w:rPr>
              <w:t>Self-Esteem</w:t>
            </w:r>
            <w:r>
              <w:rPr>
                <w:rFonts w:cstheme="minorHAnsi"/>
                <w:sz w:val="20"/>
                <w:szCs w:val="20"/>
                <w:lang w:val="en-GB"/>
              </w:rPr>
              <w:t xml:space="preserve"> and </w:t>
            </w:r>
            <w:r w:rsidRPr="00B012BE">
              <w:rPr>
                <w:rFonts w:cstheme="minorHAnsi"/>
                <w:sz w:val="20"/>
                <w:szCs w:val="20"/>
                <w:lang w:val="en-GB"/>
              </w:rPr>
              <w:t>Sense of Purpose and Goals</w:t>
            </w:r>
          </w:p>
          <w:p w:rsidR="00B012BE" w:rsidRPr="00B012BE" w:rsidRDefault="00B012BE" w:rsidP="00F7451E">
            <w:pPr>
              <w:pStyle w:val="ListParagraph"/>
              <w:numPr>
                <w:ilvl w:val="0"/>
                <w:numId w:val="8"/>
              </w:numPr>
              <w:jc w:val="both"/>
              <w:rPr>
                <w:rFonts w:cstheme="minorHAnsi"/>
                <w:sz w:val="20"/>
                <w:szCs w:val="20"/>
                <w:lang w:val="en-GB"/>
              </w:rPr>
            </w:pPr>
            <w:r w:rsidRPr="00B012BE">
              <w:rPr>
                <w:rFonts w:cstheme="minorHAnsi"/>
                <w:sz w:val="20"/>
                <w:szCs w:val="20"/>
                <w:lang w:val="en-GB"/>
              </w:rPr>
              <w:t>Module 2: Social Well-Being</w:t>
            </w:r>
            <w:r>
              <w:rPr>
                <w:rFonts w:cstheme="minorHAnsi"/>
                <w:sz w:val="20"/>
                <w:szCs w:val="20"/>
                <w:lang w:val="en-GB"/>
              </w:rPr>
              <w:t xml:space="preserve">: </w:t>
            </w:r>
            <w:r w:rsidRPr="00B012BE">
              <w:rPr>
                <w:rFonts w:cstheme="minorHAnsi"/>
                <w:sz w:val="20"/>
                <w:szCs w:val="20"/>
                <w:lang w:val="en-GB"/>
              </w:rPr>
              <w:t>Interpersonal Communication Skills</w:t>
            </w:r>
            <w:r>
              <w:rPr>
                <w:rFonts w:cstheme="minorHAnsi"/>
                <w:sz w:val="20"/>
                <w:szCs w:val="20"/>
                <w:lang w:val="en-GB"/>
              </w:rPr>
              <w:t xml:space="preserve">, </w:t>
            </w:r>
            <w:r w:rsidRPr="00B012BE">
              <w:rPr>
                <w:rFonts w:cstheme="minorHAnsi"/>
                <w:sz w:val="20"/>
                <w:szCs w:val="20"/>
                <w:lang w:val="en-GB"/>
              </w:rPr>
              <w:t xml:space="preserve">Diversity and Healthy Relationships </w:t>
            </w:r>
            <w:r>
              <w:rPr>
                <w:rFonts w:cstheme="minorHAnsi"/>
                <w:sz w:val="20"/>
                <w:szCs w:val="20"/>
                <w:lang w:val="en-GB"/>
              </w:rPr>
              <w:t>and V</w:t>
            </w:r>
            <w:r w:rsidRPr="00B012BE">
              <w:rPr>
                <w:rFonts w:cstheme="minorHAnsi"/>
                <w:sz w:val="20"/>
                <w:szCs w:val="20"/>
                <w:lang w:val="en-GB"/>
              </w:rPr>
              <w:t xml:space="preserve">iolations and Boundaries </w:t>
            </w:r>
          </w:p>
          <w:p w:rsidR="00B012BE" w:rsidRPr="00B012BE" w:rsidRDefault="00B012BE" w:rsidP="00F7451E">
            <w:pPr>
              <w:pStyle w:val="ListParagraph"/>
              <w:numPr>
                <w:ilvl w:val="0"/>
                <w:numId w:val="8"/>
              </w:numPr>
              <w:jc w:val="both"/>
              <w:rPr>
                <w:rFonts w:cstheme="minorHAnsi"/>
                <w:sz w:val="20"/>
                <w:szCs w:val="20"/>
                <w:lang w:val="en-GB"/>
              </w:rPr>
            </w:pPr>
            <w:r w:rsidRPr="00B012BE">
              <w:rPr>
                <w:rFonts w:cstheme="minorHAnsi"/>
                <w:sz w:val="20"/>
                <w:szCs w:val="20"/>
                <w:lang w:val="en-GB"/>
              </w:rPr>
              <w:t>Module 3: Digital Well-Being</w:t>
            </w:r>
            <w:r>
              <w:rPr>
                <w:rFonts w:cstheme="minorHAnsi"/>
                <w:sz w:val="20"/>
                <w:szCs w:val="20"/>
                <w:lang w:val="en-GB"/>
              </w:rPr>
              <w:t xml:space="preserve">: </w:t>
            </w:r>
            <w:r w:rsidRPr="00B012BE">
              <w:rPr>
                <w:rFonts w:cstheme="minorHAnsi"/>
                <w:sz w:val="20"/>
                <w:szCs w:val="20"/>
                <w:lang w:val="en-GB"/>
              </w:rPr>
              <w:t>Online Dangers and Risks</w:t>
            </w:r>
            <w:r>
              <w:rPr>
                <w:rFonts w:cstheme="minorHAnsi"/>
                <w:sz w:val="20"/>
                <w:szCs w:val="20"/>
                <w:lang w:val="en-GB"/>
              </w:rPr>
              <w:t xml:space="preserve">, </w:t>
            </w:r>
            <w:r w:rsidRPr="00B012BE">
              <w:rPr>
                <w:rFonts w:cstheme="minorHAnsi"/>
                <w:sz w:val="20"/>
                <w:szCs w:val="20"/>
                <w:lang w:val="en-GB"/>
              </w:rPr>
              <w:t>Taking Action</w:t>
            </w:r>
            <w:r>
              <w:rPr>
                <w:rFonts w:cstheme="minorHAnsi"/>
                <w:sz w:val="20"/>
                <w:szCs w:val="20"/>
                <w:lang w:val="en-GB"/>
              </w:rPr>
              <w:t xml:space="preserve"> and </w:t>
            </w:r>
            <w:r w:rsidRPr="00B012BE">
              <w:rPr>
                <w:rFonts w:cstheme="minorHAnsi"/>
                <w:sz w:val="20"/>
                <w:szCs w:val="20"/>
                <w:lang w:val="en-GB"/>
              </w:rPr>
              <w:t xml:space="preserve">Golden Rules for a Healthy Digital Life </w:t>
            </w:r>
          </w:p>
          <w:p w:rsidR="00B012BE" w:rsidRDefault="00B012BE" w:rsidP="00B012BE">
            <w:pPr>
              <w:ind w:hanging="2"/>
              <w:jc w:val="both"/>
              <w:rPr>
                <w:rFonts w:cstheme="minorHAnsi"/>
                <w:sz w:val="20"/>
                <w:szCs w:val="20"/>
                <w:lang w:val="en-GB"/>
              </w:rPr>
            </w:pPr>
          </w:p>
          <w:p w:rsidR="00B012BE" w:rsidRDefault="00B012BE" w:rsidP="00B012BE">
            <w:pPr>
              <w:ind w:hanging="2"/>
              <w:jc w:val="both"/>
              <w:rPr>
                <w:rFonts w:cstheme="minorHAnsi"/>
                <w:sz w:val="20"/>
                <w:szCs w:val="20"/>
                <w:lang w:val="en-GB"/>
              </w:rPr>
            </w:pPr>
            <w:r w:rsidRPr="00B012BE">
              <w:rPr>
                <w:rFonts w:cstheme="minorHAnsi"/>
                <w:sz w:val="20"/>
                <w:szCs w:val="20"/>
                <w:lang w:val="en-GB"/>
              </w:rPr>
              <w:t>Each lesson includes three learning activities and lasts approximately 45 minutes. Thus, each module contains</w:t>
            </w:r>
            <w:r>
              <w:rPr>
                <w:rFonts w:cstheme="minorHAnsi"/>
                <w:sz w:val="20"/>
                <w:szCs w:val="20"/>
                <w:lang w:val="en-GB"/>
              </w:rPr>
              <w:t xml:space="preserve"> a total of 9 activities of a non-t</w:t>
            </w:r>
            <w:r w:rsidRPr="00B012BE">
              <w:rPr>
                <w:rFonts w:cstheme="minorHAnsi"/>
                <w:sz w:val="20"/>
                <w:szCs w:val="20"/>
                <w:lang w:val="en-GB"/>
              </w:rPr>
              <w:t>raditional</w:t>
            </w:r>
            <w:r>
              <w:rPr>
                <w:rFonts w:cstheme="minorHAnsi"/>
                <w:sz w:val="20"/>
                <w:szCs w:val="20"/>
                <w:lang w:val="en-GB"/>
              </w:rPr>
              <w:t>ly</w:t>
            </w:r>
            <w:r w:rsidRPr="00B012BE">
              <w:rPr>
                <w:rFonts w:cstheme="minorHAnsi"/>
                <w:sz w:val="20"/>
                <w:szCs w:val="20"/>
                <w:lang w:val="en-GB"/>
              </w:rPr>
              <w:t xml:space="preserve"> didactic method of teaching. As the project aspires to support educators in the process of becoming “active health agents”, related teaching and learning material focuses on educators developing students’ digital and life skills by using diverse methodologies such as student-centred, experiential, collaborative and participatory ones (e.g., role play, team games, discussions). In this way, students are given the opportunity to first practice and subsequently acquire knowledge, attitudes and skills they need for a healthier offline and digital life.</w:t>
            </w:r>
          </w:p>
          <w:p w:rsidR="00DE7154" w:rsidRPr="00B012BE" w:rsidRDefault="00DE7154" w:rsidP="00B012BE">
            <w:pPr>
              <w:ind w:hanging="2"/>
              <w:jc w:val="both"/>
              <w:rPr>
                <w:rFonts w:cstheme="minorHAnsi"/>
                <w:sz w:val="20"/>
                <w:szCs w:val="20"/>
                <w:lang w:val="en-GB"/>
              </w:rPr>
            </w:pPr>
          </w:p>
          <w:p w:rsidR="00B012BE" w:rsidRDefault="00B012BE" w:rsidP="006840BD">
            <w:pPr>
              <w:ind w:hanging="2"/>
              <w:jc w:val="both"/>
              <w:rPr>
                <w:rFonts w:asciiTheme="majorHAnsi" w:hAnsiTheme="majorHAnsi" w:cstheme="majorHAnsi"/>
                <w:b/>
                <w:sz w:val="28"/>
                <w:szCs w:val="28"/>
              </w:rPr>
            </w:pPr>
            <w:r w:rsidRPr="00B012BE">
              <w:rPr>
                <w:rFonts w:cstheme="minorHAnsi"/>
                <w:sz w:val="20"/>
                <w:szCs w:val="20"/>
                <w:lang w:val="en-GB"/>
              </w:rPr>
              <w:t xml:space="preserve">The main digital and life skills promoted in each module include self-confidence, decision-making and social skills (e.g., active listening, effective communication, sharing, cooperating, empathy, respect, conflict resolution), while other important skills are also fostered (e.g., creative thinking, critical thinking, problem-solving etc.). In addition, provided that </w:t>
            </w:r>
            <w:proofErr w:type="spellStart"/>
            <w:r w:rsidRPr="00B012BE">
              <w:rPr>
                <w:rFonts w:cstheme="minorHAnsi"/>
                <w:sz w:val="20"/>
                <w:szCs w:val="20"/>
                <w:lang w:val="en-GB"/>
              </w:rPr>
              <w:t>iWell’s</w:t>
            </w:r>
            <w:proofErr w:type="spellEnd"/>
            <w:r w:rsidRPr="00B012BE">
              <w:rPr>
                <w:rFonts w:cstheme="minorHAnsi"/>
                <w:sz w:val="20"/>
                <w:szCs w:val="20"/>
                <w:lang w:val="en-GB"/>
              </w:rPr>
              <w:t xml:space="preserve"> innovative approach lies among others in the integration of new approaches, such as ICT methodologies and tools, the activities employ digital tools and resources (e.g., online videos, websites etc.) to a large extent. Last but not least, each module includes an assessment measuring students’ achievement of learning objectives, but also the quality of material in terms of clarity, time allocation, usefulness etc. </w:t>
            </w:r>
          </w:p>
        </w:tc>
        <w:tc>
          <w:tcPr>
            <w:tcW w:w="4230" w:type="dxa"/>
          </w:tcPr>
          <w:p w:rsidR="00B012BE" w:rsidRPr="00F50DE0" w:rsidRDefault="006840BD" w:rsidP="006840BD">
            <w:pPr>
              <w:jc w:val="both"/>
              <w:rPr>
                <w:rFonts w:asciiTheme="majorHAnsi" w:hAnsiTheme="majorHAnsi" w:cstheme="majorHAnsi"/>
                <w:b/>
                <w:sz w:val="28"/>
                <w:szCs w:val="28"/>
              </w:rPr>
            </w:pPr>
            <w:r>
              <w:rPr>
                <w:rFonts w:asciiTheme="majorHAnsi" w:hAnsiTheme="majorHAnsi" w:cstheme="majorHAnsi"/>
                <w:b/>
                <w:sz w:val="28"/>
                <w:szCs w:val="28"/>
              </w:rPr>
              <w:t>I</w:t>
            </w:r>
            <w:r w:rsidR="00B012BE">
              <w:rPr>
                <w:rFonts w:asciiTheme="majorHAnsi" w:hAnsiTheme="majorHAnsi" w:cstheme="majorHAnsi"/>
                <w:b/>
                <w:sz w:val="28"/>
                <w:szCs w:val="28"/>
              </w:rPr>
              <w:t>n this Issue</w:t>
            </w:r>
          </w:p>
          <w:p w:rsidR="00B012BE" w:rsidRDefault="00B012BE" w:rsidP="00DE7154">
            <w:pPr>
              <w:jc w:val="both"/>
              <w:rPr>
                <w:rFonts w:asciiTheme="majorHAnsi" w:hAnsiTheme="majorHAnsi" w:cstheme="majorHAnsi"/>
                <w:b/>
                <w:sz w:val="28"/>
                <w:szCs w:val="28"/>
              </w:rPr>
            </w:pPr>
            <w:r>
              <w:rPr>
                <w:rFonts w:asciiTheme="majorHAnsi" w:hAnsiTheme="majorHAnsi" w:cstheme="majorHAnsi"/>
                <w:sz w:val="20"/>
                <w:szCs w:val="20"/>
              </w:rPr>
              <w:t xml:space="preserve">Welcome to </w:t>
            </w:r>
            <w:r w:rsidRPr="00F50DE0">
              <w:rPr>
                <w:rFonts w:asciiTheme="majorHAnsi" w:hAnsiTheme="majorHAnsi" w:cstheme="majorHAnsi"/>
                <w:sz w:val="20"/>
                <w:szCs w:val="20"/>
              </w:rPr>
              <w:t xml:space="preserve">iWell </w:t>
            </w:r>
            <w:r>
              <w:rPr>
                <w:rFonts w:asciiTheme="majorHAnsi" w:hAnsiTheme="majorHAnsi" w:cstheme="majorHAnsi"/>
                <w:sz w:val="20"/>
                <w:szCs w:val="20"/>
              </w:rPr>
              <w:t>second newsletter with updates on the project works and achievements. In this issue</w:t>
            </w:r>
            <w:r w:rsidR="006840BD">
              <w:rPr>
                <w:rFonts w:asciiTheme="majorHAnsi" w:hAnsiTheme="majorHAnsi" w:cstheme="majorHAnsi"/>
                <w:sz w:val="20"/>
                <w:szCs w:val="20"/>
              </w:rPr>
              <w:t>, news regarding iWell C</w:t>
            </w:r>
            <w:r>
              <w:rPr>
                <w:rFonts w:asciiTheme="majorHAnsi" w:hAnsiTheme="majorHAnsi" w:cstheme="majorHAnsi"/>
                <w:sz w:val="20"/>
                <w:szCs w:val="20"/>
              </w:rPr>
              <w:t xml:space="preserve">urriculum will be shared and updates on the rest of the project’s deliverables will be </w:t>
            </w:r>
            <w:r w:rsidR="00DE7154">
              <w:rPr>
                <w:rFonts w:asciiTheme="majorHAnsi" w:hAnsiTheme="majorHAnsi" w:cstheme="majorHAnsi"/>
                <w:sz w:val="20"/>
                <w:szCs w:val="20"/>
              </w:rPr>
              <w:t>noted</w:t>
            </w:r>
            <w:r>
              <w:rPr>
                <w:rFonts w:asciiTheme="majorHAnsi" w:hAnsiTheme="majorHAnsi" w:cstheme="majorHAnsi"/>
                <w:sz w:val="20"/>
                <w:szCs w:val="20"/>
              </w:rPr>
              <w:t>.</w:t>
            </w:r>
            <w:r w:rsidR="00DE7154">
              <w:rPr>
                <w:rFonts w:asciiTheme="majorHAnsi" w:hAnsiTheme="majorHAnsi" w:cstheme="majorHAnsi"/>
                <w:sz w:val="20"/>
                <w:szCs w:val="20"/>
              </w:rPr>
              <w:t xml:space="preserve"> </w:t>
            </w:r>
          </w:p>
        </w:tc>
      </w:tr>
      <w:tr w:rsidR="00B012BE" w:rsidRPr="008123E7" w:rsidTr="006840BD">
        <w:tc>
          <w:tcPr>
            <w:tcW w:w="7560" w:type="dxa"/>
            <w:vMerge/>
          </w:tcPr>
          <w:p w:rsidR="00B012BE" w:rsidRPr="007F79B0" w:rsidRDefault="00B012BE" w:rsidP="003F2B06">
            <w:pPr>
              <w:autoSpaceDE w:val="0"/>
              <w:autoSpaceDN w:val="0"/>
              <w:adjustRightInd w:val="0"/>
              <w:rPr>
                <w:rFonts w:asciiTheme="majorHAnsi" w:hAnsiTheme="majorHAnsi" w:cstheme="majorHAnsi"/>
                <w:sz w:val="20"/>
                <w:szCs w:val="20"/>
              </w:rPr>
            </w:pPr>
          </w:p>
        </w:tc>
        <w:tc>
          <w:tcPr>
            <w:tcW w:w="4230" w:type="dxa"/>
          </w:tcPr>
          <w:p w:rsidR="00B012BE" w:rsidRPr="00F50DE0" w:rsidRDefault="00B012BE" w:rsidP="006840BD">
            <w:pPr>
              <w:jc w:val="both"/>
              <w:rPr>
                <w:rFonts w:asciiTheme="majorHAnsi" w:hAnsiTheme="majorHAnsi" w:cstheme="majorHAnsi"/>
                <w:b/>
                <w:sz w:val="28"/>
                <w:szCs w:val="28"/>
              </w:rPr>
            </w:pPr>
            <w:r>
              <w:rPr>
                <w:rFonts w:asciiTheme="majorHAnsi" w:hAnsiTheme="majorHAnsi" w:cstheme="majorHAnsi"/>
                <w:b/>
                <w:sz w:val="28"/>
                <w:szCs w:val="28"/>
              </w:rPr>
              <w:t>Further updates o</w:t>
            </w:r>
            <w:r w:rsidR="006840BD">
              <w:rPr>
                <w:rFonts w:asciiTheme="majorHAnsi" w:hAnsiTheme="majorHAnsi" w:cstheme="majorHAnsi"/>
                <w:b/>
                <w:sz w:val="28"/>
                <w:szCs w:val="28"/>
              </w:rPr>
              <w:t>n</w:t>
            </w:r>
            <w:r>
              <w:rPr>
                <w:rFonts w:asciiTheme="majorHAnsi" w:hAnsiTheme="majorHAnsi" w:cstheme="majorHAnsi"/>
                <w:b/>
                <w:sz w:val="28"/>
                <w:szCs w:val="28"/>
              </w:rPr>
              <w:t xml:space="preserve"> iWell </w:t>
            </w:r>
          </w:p>
          <w:p w:rsidR="00B012BE" w:rsidRDefault="00B012BE" w:rsidP="006840BD">
            <w:p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Beyond the curriculum development, testing and evaluation, iWell Consortium has managed to</w:t>
            </w:r>
            <w:r w:rsidR="006840BD">
              <w:rPr>
                <w:rFonts w:asciiTheme="majorHAnsi" w:hAnsiTheme="majorHAnsi" w:cstheme="majorHAnsi"/>
                <w:sz w:val="20"/>
                <w:szCs w:val="20"/>
              </w:rPr>
              <w:t xml:space="preserve"> draft the Mini-Games (IO3), </w:t>
            </w:r>
            <w:r>
              <w:rPr>
                <w:rFonts w:asciiTheme="majorHAnsi" w:hAnsiTheme="majorHAnsi" w:cstheme="majorHAnsi"/>
                <w:sz w:val="20"/>
                <w:szCs w:val="20"/>
              </w:rPr>
              <w:t>the MOOCs</w:t>
            </w:r>
            <w:r w:rsidR="006840BD">
              <w:rPr>
                <w:rFonts w:asciiTheme="majorHAnsi" w:hAnsiTheme="majorHAnsi" w:cstheme="majorHAnsi"/>
                <w:sz w:val="20"/>
                <w:szCs w:val="20"/>
              </w:rPr>
              <w:t xml:space="preserve"> resources (IO4) and the guidelines for the </w:t>
            </w:r>
            <w:r w:rsidR="006840BD" w:rsidRPr="006840BD">
              <w:rPr>
                <w:rFonts w:asciiTheme="majorHAnsi" w:hAnsiTheme="majorHAnsi" w:cstheme="majorHAnsi"/>
                <w:sz w:val="20"/>
                <w:szCs w:val="20"/>
              </w:rPr>
              <w:t>Toolkit with Policy &amp; Practice Recommendations</w:t>
            </w:r>
            <w:r w:rsidR="006840BD">
              <w:rPr>
                <w:rFonts w:asciiTheme="majorHAnsi" w:hAnsiTheme="majorHAnsi" w:cstheme="majorHAnsi"/>
                <w:sz w:val="20"/>
                <w:szCs w:val="20"/>
              </w:rPr>
              <w:t xml:space="preserve"> (IO5)</w:t>
            </w:r>
          </w:p>
          <w:p w:rsidR="00DE7154" w:rsidRPr="00DE7154" w:rsidRDefault="00DE7154" w:rsidP="006840BD">
            <w:pPr>
              <w:autoSpaceDE w:val="0"/>
              <w:autoSpaceDN w:val="0"/>
              <w:adjustRightInd w:val="0"/>
              <w:jc w:val="both"/>
              <w:rPr>
                <w:rFonts w:asciiTheme="majorHAnsi" w:hAnsiTheme="majorHAnsi" w:cstheme="majorHAnsi"/>
                <w:sz w:val="16"/>
                <w:szCs w:val="16"/>
              </w:rPr>
            </w:pPr>
          </w:p>
        </w:tc>
      </w:tr>
      <w:tr w:rsidR="00B012BE" w:rsidRPr="008123E7" w:rsidTr="006840BD">
        <w:tc>
          <w:tcPr>
            <w:tcW w:w="7560" w:type="dxa"/>
            <w:vMerge/>
          </w:tcPr>
          <w:p w:rsidR="00B012BE" w:rsidRPr="003F2B06" w:rsidRDefault="00B012BE" w:rsidP="003F2B06">
            <w:pPr>
              <w:autoSpaceDE w:val="0"/>
              <w:autoSpaceDN w:val="0"/>
              <w:adjustRightInd w:val="0"/>
              <w:rPr>
                <w:rFonts w:asciiTheme="majorHAnsi" w:hAnsiTheme="majorHAnsi" w:cstheme="majorHAnsi"/>
                <w:sz w:val="24"/>
                <w:szCs w:val="24"/>
              </w:rPr>
            </w:pPr>
          </w:p>
        </w:tc>
        <w:tc>
          <w:tcPr>
            <w:tcW w:w="4230" w:type="dxa"/>
          </w:tcPr>
          <w:p w:rsidR="00B012BE" w:rsidRPr="00F50DE0" w:rsidRDefault="00B012BE" w:rsidP="00F50DE0">
            <w:pPr>
              <w:rPr>
                <w:rFonts w:asciiTheme="majorHAnsi" w:hAnsiTheme="majorHAnsi" w:cstheme="majorHAnsi"/>
                <w:b/>
                <w:sz w:val="28"/>
                <w:szCs w:val="28"/>
              </w:rPr>
            </w:pPr>
            <w:r w:rsidRPr="00F50DE0">
              <w:rPr>
                <w:rFonts w:asciiTheme="majorHAnsi" w:hAnsiTheme="majorHAnsi" w:cstheme="majorHAnsi"/>
                <w:b/>
                <w:sz w:val="28"/>
                <w:szCs w:val="28"/>
              </w:rPr>
              <w:t>iWell partnership</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 xml:space="preserve">THE INSTITUTE OF TECHNOLOGY AND DEVELOPMENT FOUNDATION, BULGARIA (Leading </w:t>
            </w:r>
            <w:proofErr w:type="spellStart"/>
            <w:r w:rsidRPr="00F50DE0">
              <w:rPr>
                <w:rFonts w:asciiTheme="majorHAnsi" w:hAnsiTheme="majorHAnsi" w:cstheme="majorHAnsi"/>
                <w:sz w:val="20"/>
                <w:szCs w:val="20"/>
              </w:rPr>
              <w:t>Organisation</w:t>
            </w:r>
            <w:proofErr w:type="spellEnd"/>
            <w:r w:rsidRPr="00F50DE0">
              <w:rPr>
                <w:rFonts w:asciiTheme="majorHAnsi" w:hAnsiTheme="majorHAnsi" w:cstheme="majorHAnsi"/>
                <w:sz w:val="20"/>
                <w:szCs w:val="20"/>
              </w:rPr>
              <w:t>];</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CARDET – CENTRE FOR ADVANCEMENT OF RESEARCH AND DEVELOPMENT IN EDUCATIONAL TECHNOLOGY LTD, CYPRUS;</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The Rural Hub CLG, IRELAND;</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CESIE, ITALY;</w:t>
            </w:r>
          </w:p>
          <w:p w:rsidR="00B012BE" w:rsidRPr="00F50DE0"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 xml:space="preserve">INNOVADE LI LTD, CYPRUS; and </w:t>
            </w:r>
          </w:p>
          <w:p w:rsidR="00B012BE" w:rsidRDefault="00B012BE" w:rsidP="005C4416">
            <w:pPr>
              <w:pStyle w:val="ListParagraph"/>
              <w:numPr>
                <w:ilvl w:val="0"/>
                <w:numId w:val="4"/>
              </w:numPr>
              <w:ind w:left="342"/>
              <w:rPr>
                <w:rFonts w:asciiTheme="majorHAnsi" w:hAnsiTheme="majorHAnsi" w:cstheme="majorHAnsi"/>
                <w:sz w:val="20"/>
                <w:szCs w:val="20"/>
              </w:rPr>
            </w:pPr>
            <w:r w:rsidRPr="00F50DE0">
              <w:rPr>
                <w:rFonts w:asciiTheme="majorHAnsi" w:hAnsiTheme="majorHAnsi" w:cstheme="majorHAnsi"/>
                <w:sz w:val="20"/>
                <w:szCs w:val="20"/>
              </w:rPr>
              <w:t>KENTRO MERIMNAS OIKOGENEIAS KAI PAIDIOU, GREECE</w:t>
            </w:r>
          </w:p>
          <w:p w:rsidR="00B012BE" w:rsidRPr="00DE7154" w:rsidRDefault="00B012BE" w:rsidP="00500810">
            <w:pPr>
              <w:rPr>
                <w:rFonts w:asciiTheme="majorHAnsi" w:hAnsiTheme="majorHAnsi" w:cstheme="majorHAnsi"/>
                <w:sz w:val="16"/>
                <w:szCs w:val="16"/>
              </w:rPr>
            </w:pPr>
          </w:p>
        </w:tc>
      </w:tr>
      <w:tr w:rsidR="00B012BE" w:rsidRPr="008123E7" w:rsidTr="006840BD">
        <w:tc>
          <w:tcPr>
            <w:tcW w:w="7560" w:type="dxa"/>
            <w:vMerge/>
          </w:tcPr>
          <w:p w:rsidR="00B012BE" w:rsidRDefault="00B012BE" w:rsidP="00F50DE0">
            <w:pPr>
              <w:rPr>
                <w:rFonts w:asciiTheme="majorHAnsi" w:hAnsiTheme="majorHAnsi" w:cstheme="majorHAnsi"/>
                <w:b/>
                <w:sz w:val="28"/>
                <w:szCs w:val="28"/>
              </w:rPr>
            </w:pPr>
          </w:p>
        </w:tc>
        <w:tc>
          <w:tcPr>
            <w:tcW w:w="4230" w:type="dxa"/>
          </w:tcPr>
          <w:p w:rsidR="00B012BE" w:rsidRDefault="006840BD" w:rsidP="00F50DE0">
            <w:pPr>
              <w:rPr>
                <w:rFonts w:asciiTheme="majorHAnsi" w:hAnsiTheme="majorHAnsi" w:cstheme="majorHAnsi"/>
                <w:b/>
                <w:sz w:val="28"/>
                <w:szCs w:val="28"/>
              </w:rPr>
            </w:pPr>
            <w:r>
              <w:rPr>
                <w:noProof/>
              </w:rPr>
              <w:drawing>
                <wp:anchor distT="0" distB="0" distL="114300" distR="114300" simplePos="0" relativeHeight="251665408" behindDoc="1" locked="0" layoutInCell="1" allowOverlap="1" wp14:anchorId="7C738724" wp14:editId="77145DEC">
                  <wp:simplePos x="0" y="0"/>
                  <wp:positionH relativeFrom="page">
                    <wp:posOffset>686435</wp:posOffset>
                  </wp:positionH>
                  <wp:positionV relativeFrom="page">
                    <wp:posOffset>80645</wp:posOffset>
                  </wp:positionV>
                  <wp:extent cx="1264920" cy="10901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document_cover-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1090133"/>
                          </a:xfrm>
                          <a:prstGeom prst="rect">
                            <a:avLst/>
                          </a:prstGeom>
                        </pic:spPr>
                      </pic:pic>
                    </a:graphicData>
                  </a:graphic>
                  <wp14:sizeRelH relativeFrom="margin">
                    <wp14:pctWidth>0</wp14:pctWidth>
                  </wp14:sizeRelH>
                  <wp14:sizeRelV relativeFrom="margin">
                    <wp14:pctHeight>0</wp14:pctHeight>
                  </wp14:sizeRelV>
                </wp:anchor>
              </w:drawing>
            </w: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Pr="00F50DE0" w:rsidRDefault="00B012BE" w:rsidP="00F50DE0">
            <w:pPr>
              <w:rPr>
                <w:rFonts w:asciiTheme="majorHAnsi" w:hAnsiTheme="majorHAnsi" w:cstheme="majorHAnsi"/>
                <w:b/>
                <w:sz w:val="28"/>
                <w:szCs w:val="28"/>
              </w:rPr>
            </w:pPr>
          </w:p>
        </w:tc>
      </w:tr>
      <w:tr w:rsidR="00B012BE" w:rsidRPr="008123E7" w:rsidTr="006840BD">
        <w:tc>
          <w:tcPr>
            <w:tcW w:w="7560" w:type="dxa"/>
            <w:vMerge/>
          </w:tcPr>
          <w:p w:rsidR="00B012BE" w:rsidRPr="008123E7" w:rsidRDefault="00B012BE" w:rsidP="00F50DE0">
            <w:pPr>
              <w:rPr>
                <w:rFonts w:asciiTheme="majorHAnsi" w:hAnsiTheme="majorHAnsi" w:cstheme="majorHAnsi"/>
                <w:sz w:val="24"/>
                <w:szCs w:val="24"/>
              </w:rPr>
            </w:pPr>
          </w:p>
        </w:tc>
        <w:tc>
          <w:tcPr>
            <w:tcW w:w="4230" w:type="dxa"/>
          </w:tcPr>
          <w:p w:rsidR="00B012BE" w:rsidRPr="008123E7" w:rsidRDefault="00B012BE" w:rsidP="00F50DE0">
            <w:pPr>
              <w:jc w:val="center"/>
              <w:rPr>
                <w:rFonts w:asciiTheme="majorHAnsi" w:hAnsiTheme="majorHAnsi" w:cstheme="majorHAnsi"/>
                <w:b/>
                <w:sz w:val="24"/>
                <w:szCs w:val="24"/>
              </w:rPr>
            </w:pPr>
            <w:r w:rsidRPr="008123E7">
              <w:rPr>
                <w:rFonts w:asciiTheme="majorHAnsi" w:hAnsiTheme="majorHAnsi" w:cstheme="majorHAnsi"/>
                <w:b/>
                <w:sz w:val="24"/>
                <w:szCs w:val="24"/>
              </w:rPr>
              <w:t>Stay tuned with iWell</w:t>
            </w:r>
          </w:p>
          <w:p w:rsidR="00B012BE" w:rsidRPr="005C4416" w:rsidRDefault="00B012BE" w:rsidP="00F50DE0">
            <w:pPr>
              <w:jc w:val="center"/>
              <w:rPr>
                <w:rFonts w:asciiTheme="majorHAnsi" w:hAnsiTheme="majorHAnsi" w:cstheme="majorHAnsi"/>
                <w:b/>
                <w:sz w:val="20"/>
                <w:szCs w:val="20"/>
              </w:rPr>
            </w:pPr>
            <w:r w:rsidRPr="005C4416">
              <w:rPr>
                <w:rFonts w:asciiTheme="majorHAnsi" w:hAnsiTheme="majorHAnsi" w:cstheme="majorHAnsi"/>
                <w:b/>
                <w:sz w:val="20"/>
                <w:szCs w:val="20"/>
              </w:rPr>
              <w:t>iWell Website</w:t>
            </w:r>
          </w:p>
          <w:p w:rsidR="00B012BE" w:rsidRPr="005C4416" w:rsidRDefault="0052555B" w:rsidP="00F50DE0">
            <w:pPr>
              <w:jc w:val="center"/>
              <w:rPr>
                <w:rFonts w:asciiTheme="majorHAnsi" w:hAnsiTheme="majorHAnsi" w:cstheme="majorHAnsi"/>
                <w:b/>
                <w:bCs/>
                <w:sz w:val="20"/>
                <w:szCs w:val="20"/>
                <w:lang w:val="en-GB"/>
              </w:rPr>
            </w:pPr>
            <w:hyperlink r:id="rId8" w:history="1">
              <w:r w:rsidR="00B012BE" w:rsidRPr="00A03008">
                <w:rPr>
                  <w:rStyle w:val="Hyperlink"/>
                  <w:rFonts w:asciiTheme="majorHAnsi" w:hAnsiTheme="majorHAnsi" w:cstheme="majorHAnsi"/>
                  <w:b/>
                  <w:bCs/>
                  <w:sz w:val="20"/>
                  <w:szCs w:val="20"/>
                  <w:lang w:val="en-GB"/>
                </w:rPr>
                <w:t>https://iwellproject.eu/</w:t>
              </w:r>
            </w:hyperlink>
          </w:p>
          <w:p w:rsidR="00B012BE" w:rsidRPr="005C4416" w:rsidRDefault="00B012BE" w:rsidP="00F50DE0">
            <w:pPr>
              <w:jc w:val="center"/>
              <w:rPr>
                <w:rFonts w:asciiTheme="majorHAnsi" w:hAnsiTheme="majorHAnsi" w:cstheme="majorHAnsi"/>
                <w:b/>
                <w:sz w:val="12"/>
                <w:szCs w:val="12"/>
              </w:rPr>
            </w:pPr>
          </w:p>
          <w:p w:rsidR="00B012BE" w:rsidRPr="003F2B06" w:rsidRDefault="00B012BE" w:rsidP="00F50DE0">
            <w:pPr>
              <w:jc w:val="center"/>
              <w:rPr>
                <w:rFonts w:asciiTheme="majorHAnsi" w:hAnsiTheme="majorHAnsi" w:cstheme="majorHAnsi"/>
                <w:b/>
                <w:sz w:val="20"/>
                <w:szCs w:val="20"/>
              </w:rPr>
            </w:pPr>
            <w:r w:rsidRPr="003F2B06">
              <w:rPr>
                <w:rFonts w:asciiTheme="majorHAnsi" w:hAnsiTheme="majorHAnsi" w:cstheme="majorHAnsi"/>
                <w:b/>
                <w:sz w:val="20"/>
                <w:szCs w:val="20"/>
              </w:rPr>
              <w:t xml:space="preserve">iWell Facebook: </w:t>
            </w:r>
          </w:p>
          <w:p w:rsidR="00B012BE" w:rsidRPr="00330CB5" w:rsidRDefault="0052555B" w:rsidP="00F50DE0">
            <w:pPr>
              <w:jc w:val="center"/>
              <w:rPr>
                <w:rFonts w:asciiTheme="majorHAnsi" w:hAnsiTheme="majorHAnsi" w:cstheme="majorHAnsi"/>
                <w:b/>
                <w:sz w:val="24"/>
                <w:szCs w:val="24"/>
              </w:rPr>
            </w:pPr>
            <w:hyperlink r:id="rId9" w:history="1">
              <w:r w:rsidR="00B012BE" w:rsidRPr="003F2B06">
                <w:rPr>
                  <w:rStyle w:val="Hyperlink"/>
                  <w:rFonts w:asciiTheme="majorHAnsi" w:hAnsiTheme="majorHAnsi" w:cstheme="majorHAnsi"/>
                  <w:b/>
                  <w:bCs/>
                  <w:sz w:val="20"/>
                  <w:szCs w:val="20"/>
                  <w:lang w:val="en-GB"/>
                </w:rPr>
                <w:t>https://www.facebook.com/IWell-107756454714838</w:t>
              </w:r>
            </w:hyperlink>
            <w:hyperlink r:id="rId10" w:history="1">
              <w:r w:rsidR="00B012BE" w:rsidRPr="003F2B06">
                <w:rPr>
                  <w:rStyle w:val="Hyperlink"/>
                  <w:rFonts w:asciiTheme="majorHAnsi" w:hAnsiTheme="majorHAnsi" w:cstheme="majorHAnsi"/>
                  <w:b/>
                  <w:bCs/>
                  <w:sz w:val="20"/>
                  <w:szCs w:val="20"/>
                  <w:lang w:val="en-GB"/>
                </w:rPr>
                <w:t>/</w:t>
              </w:r>
            </w:hyperlink>
          </w:p>
        </w:tc>
      </w:tr>
    </w:tbl>
    <w:p w:rsidR="00F50DE0" w:rsidRDefault="005C4416" w:rsidP="00F50DE0">
      <w:pPr>
        <w:spacing w:after="0" w:line="240" w:lineRule="auto"/>
      </w:pPr>
      <w:r w:rsidRPr="00832EAA">
        <w:rPr>
          <w:rFonts w:ascii="Arial Narrow" w:hAnsi="Arial Narrow"/>
          <w:noProof/>
          <w:color w:val="808080" w:themeColor="background1" w:themeShade="80"/>
          <w:sz w:val="18"/>
          <w:szCs w:val="18"/>
        </w:rPr>
        <w:drawing>
          <wp:anchor distT="0" distB="0" distL="114300" distR="114300" simplePos="0" relativeHeight="251661312" behindDoc="1" locked="0" layoutInCell="1" allowOverlap="1" wp14:anchorId="19EF4686" wp14:editId="0B713CE7">
            <wp:simplePos x="0" y="0"/>
            <wp:positionH relativeFrom="column">
              <wp:posOffset>-208915</wp:posOffset>
            </wp:positionH>
            <wp:positionV relativeFrom="paragraph">
              <wp:posOffset>97790</wp:posOffset>
            </wp:positionV>
            <wp:extent cx="1732915" cy="495300"/>
            <wp:effectExtent l="0" t="0" r="0" b="0"/>
            <wp:wrapTight wrapText="bothSides">
              <wp:wrapPolygon edited="0">
                <wp:start x="475" y="1662"/>
                <wp:lineTo x="475" y="18277"/>
                <wp:lineTo x="13297" y="19938"/>
                <wp:lineTo x="14247" y="19938"/>
                <wp:lineTo x="20896" y="18277"/>
                <wp:lineTo x="20658" y="11631"/>
                <wp:lineTo x="18521" y="4985"/>
                <wp:lineTo x="16384" y="1662"/>
                <wp:lineTo x="475" y="1662"/>
              </wp:wrapPolygon>
            </wp:wrapTight>
            <wp:docPr id="17" name="Picture 4" descr="C:\Users\Alex\Desktop\Loghi progetto\Erasmus+\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lex\Desktop\Loghi progetto\Erasmus+\eu_flag_co_funded_vect_pos_[cmyk]_right-[Converti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495300"/>
                    </a:xfrm>
                    <a:prstGeom prst="rect">
                      <a:avLst/>
                    </a:prstGeom>
                    <a:noFill/>
                  </pic:spPr>
                </pic:pic>
              </a:graphicData>
            </a:graphic>
            <wp14:sizeRelH relativeFrom="page">
              <wp14:pctWidth>0</wp14:pctWidth>
            </wp14:sizeRelH>
            <wp14:sizeRelV relativeFrom="page">
              <wp14:pctHeight>0</wp14:pctHeight>
            </wp14:sizeRelV>
          </wp:anchor>
        </w:drawing>
      </w:r>
    </w:p>
    <w:p w:rsidR="00F50DE0" w:rsidRPr="00832EAA" w:rsidRDefault="00F50DE0" w:rsidP="00F50DE0">
      <w:pPr>
        <w:pStyle w:val="Footer"/>
        <w:ind w:left="2520"/>
        <w:rPr>
          <w:rFonts w:ascii="Arial Narrow" w:hAnsi="Arial Narrow"/>
          <w:sz w:val="18"/>
          <w:szCs w:val="18"/>
        </w:rPr>
      </w:pPr>
      <w:r w:rsidRPr="00832EAA">
        <w:rPr>
          <w:rFonts w:ascii="Arial Narrow" w:hAnsi="Arial Narrow"/>
          <w:color w:val="808080" w:themeColor="background1" w:themeShade="80"/>
          <w:sz w:val="18"/>
          <w:szCs w:val="18"/>
        </w:rPr>
        <w:t>The European Commission support for the production of this publication does not constitute an endorsement of the contents which reflects the views only of the authors, and the Com</w:t>
      </w:r>
      <w:r>
        <w:rPr>
          <w:rFonts w:ascii="Arial Narrow" w:hAnsi="Arial Narrow"/>
          <w:color w:val="808080" w:themeColor="background1" w:themeShade="80"/>
          <w:sz w:val="18"/>
          <w:szCs w:val="18"/>
        </w:rPr>
        <w:t>mission cannot be held responsi</w:t>
      </w:r>
      <w:r w:rsidRPr="00832EAA">
        <w:rPr>
          <w:rFonts w:ascii="Arial Narrow" w:hAnsi="Arial Narrow"/>
          <w:color w:val="808080" w:themeColor="background1" w:themeShade="80"/>
          <w:sz w:val="18"/>
          <w:szCs w:val="18"/>
        </w:rPr>
        <w:t>ble for any use which may be made of the information contained therein.</w:t>
      </w:r>
    </w:p>
    <w:p w:rsidR="008C5FAE" w:rsidRPr="008C5FAE" w:rsidRDefault="008C5FAE" w:rsidP="00F50DE0">
      <w:pPr>
        <w:spacing w:after="0" w:line="240" w:lineRule="auto"/>
        <w:rPr>
          <w:b/>
        </w:rPr>
      </w:pPr>
    </w:p>
    <w:sectPr w:rsidR="008C5FAE" w:rsidRPr="008C5FAE" w:rsidSect="006840BD">
      <w:headerReference w:type="default" r:id="rId12"/>
      <w:pgSz w:w="12240" w:h="15840"/>
      <w:pgMar w:top="36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5B" w:rsidRDefault="0052555B" w:rsidP="00F50DE0">
      <w:pPr>
        <w:spacing w:after="0" w:line="240" w:lineRule="auto"/>
      </w:pPr>
      <w:r>
        <w:separator/>
      </w:r>
    </w:p>
  </w:endnote>
  <w:endnote w:type="continuationSeparator" w:id="0">
    <w:p w:rsidR="0052555B" w:rsidRDefault="0052555B" w:rsidP="00F5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5B" w:rsidRDefault="0052555B" w:rsidP="00F50DE0">
      <w:pPr>
        <w:spacing w:after="0" w:line="240" w:lineRule="auto"/>
      </w:pPr>
      <w:r>
        <w:separator/>
      </w:r>
    </w:p>
  </w:footnote>
  <w:footnote w:type="continuationSeparator" w:id="0">
    <w:p w:rsidR="0052555B" w:rsidRDefault="0052555B" w:rsidP="00F5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E0" w:rsidRDefault="00F50DE0">
    <w:pPr>
      <w:pStyle w:val="Header"/>
    </w:pPr>
    <w:r w:rsidRPr="00F50DE0">
      <w:rPr>
        <w:rFonts w:asciiTheme="majorHAnsi" w:hAnsiTheme="majorHAnsi" w:cstheme="majorHAnsi"/>
        <w:noProof/>
      </w:rPr>
      <w:drawing>
        <wp:anchor distT="0" distB="0" distL="114300" distR="114300" simplePos="0" relativeHeight="251659264" behindDoc="0" locked="0" layoutInCell="1" allowOverlap="1" wp14:anchorId="5CD0E6CA" wp14:editId="5532C5DF">
          <wp:simplePos x="0" y="0"/>
          <wp:positionH relativeFrom="column">
            <wp:posOffset>-822960</wp:posOffset>
          </wp:positionH>
          <wp:positionV relativeFrom="paragraph">
            <wp:posOffset>-281940</wp:posOffset>
          </wp:positionV>
          <wp:extent cx="7614285" cy="1150620"/>
          <wp:effectExtent l="0" t="0" r="571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14285"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36F"/>
    <w:multiLevelType w:val="hybridMultilevel"/>
    <w:tmpl w:val="2CEA8072"/>
    <w:lvl w:ilvl="0" w:tplc="B6CC3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B5D75"/>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ED4513"/>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0B50BF"/>
    <w:multiLevelType w:val="hybridMultilevel"/>
    <w:tmpl w:val="10B8B5B4"/>
    <w:lvl w:ilvl="0" w:tplc="45E275FE">
      <w:start w:val="1"/>
      <w:numFmt w:val="bullet"/>
      <w:lvlText w:val="•"/>
      <w:lvlJc w:val="left"/>
      <w:pPr>
        <w:tabs>
          <w:tab w:val="num" w:pos="720"/>
        </w:tabs>
        <w:ind w:left="720" w:hanging="360"/>
      </w:pPr>
      <w:rPr>
        <w:rFonts w:ascii="Arial" w:hAnsi="Arial" w:hint="default"/>
      </w:rPr>
    </w:lvl>
    <w:lvl w:ilvl="1" w:tplc="17489874" w:tentative="1">
      <w:start w:val="1"/>
      <w:numFmt w:val="bullet"/>
      <w:lvlText w:val="•"/>
      <w:lvlJc w:val="left"/>
      <w:pPr>
        <w:tabs>
          <w:tab w:val="num" w:pos="1440"/>
        </w:tabs>
        <w:ind w:left="1440" w:hanging="360"/>
      </w:pPr>
      <w:rPr>
        <w:rFonts w:ascii="Arial" w:hAnsi="Arial" w:hint="default"/>
      </w:rPr>
    </w:lvl>
    <w:lvl w:ilvl="2" w:tplc="13D65E7A" w:tentative="1">
      <w:start w:val="1"/>
      <w:numFmt w:val="bullet"/>
      <w:lvlText w:val="•"/>
      <w:lvlJc w:val="left"/>
      <w:pPr>
        <w:tabs>
          <w:tab w:val="num" w:pos="2160"/>
        </w:tabs>
        <w:ind w:left="2160" w:hanging="360"/>
      </w:pPr>
      <w:rPr>
        <w:rFonts w:ascii="Arial" w:hAnsi="Arial" w:hint="default"/>
      </w:rPr>
    </w:lvl>
    <w:lvl w:ilvl="3" w:tplc="F92CA7CC" w:tentative="1">
      <w:start w:val="1"/>
      <w:numFmt w:val="bullet"/>
      <w:lvlText w:val="•"/>
      <w:lvlJc w:val="left"/>
      <w:pPr>
        <w:tabs>
          <w:tab w:val="num" w:pos="2880"/>
        </w:tabs>
        <w:ind w:left="2880" w:hanging="360"/>
      </w:pPr>
      <w:rPr>
        <w:rFonts w:ascii="Arial" w:hAnsi="Arial" w:hint="default"/>
      </w:rPr>
    </w:lvl>
    <w:lvl w:ilvl="4" w:tplc="DCB229A4" w:tentative="1">
      <w:start w:val="1"/>
      <w:numFmt w:val="bullet"/>
      <w:lvlText w:val="•"/>
      <w:lvlJc w:val="left"/>
      <w:pPr>
        <w:tabs>
          <w:tab w:val="num" w:pos="3600"/>
        </w:tabs>
        <w:ind w:left="3600" w:hanging="360"/>
      </w:pPr>
      <w:rPr>
        <w:rFonts w:ascii="Arial" w:hAnsi="Arial" w:hint="default"/>
      </w:rPr>
    </w:lvl>
    <w:lvl w:ilvl="5" w:tplc="CFA693B6" w:tentative="1">
      <w:start w:val="1"/>
      <w:numFmt w:val="bullet"/>
      <w:lvlText w:val="•"/>
      <w:lvlJc w:val="left"/>
      <w:pPr>
        <w:tabs>
          <w:tab w:val="num" w:pos="4320"/>
        </w:tabs>
        <w:ind w:left="4320" w:hanging="360"/>
      </w:pPr>
      <w:rPr>
        <w:rFonts w:ascii="Arial" w:hAnsi="Arial" w:hint="default"/>
      </w:rPr>
    </w:lvl>
    <w:lvl w:ilvl="6" w:tplc="426CB7EA" w:tentative="1">
      <w:start w:val="1"/>
      <w:numFmt w:val="bullet"/>
      <w:lvlText w:val="•"/>
      <w:lvlJc w:val="left"/>
      <w:pPr>
        <w:tabs>
          <w:tab w:val="num" w:pos="5040"/>
        </w:tabs>
        <w:ind w:left="5040" w:hanging="360"/>
      </w:pPr>
      <w:rPr>
        <w:rFonts w:ascii="Arial" w:hAnsi="Arial" w:hint="default"/>
      </w:rPr>
    </w:lvl>
    <w:lvl w:ilvl="7" w:tplc="2CD8A3E4" w:tentative="1">
      <w:start w:val="1"/>
      <w:numFmt w:val="bullet"/>
      <w:lvlText w:val="•"/>
      <w:lvlJc w:val="left"/>
      <w:pPr>
        <w:tabs>
          <w:tab w:val="num" w:pos="5760"/>
        </w:tabs>
        <w:ind w:left="5760" w:hanging="360"/>
      </w:pPr>
      <w:rPr>
        <w:rFonts w:ascii="Arial" w:hAnsi="Arial" w:hint="default"/>
      </w:rPr>
    </w:lvl>
    <w:lvl w:ilvl="8" w:tplc="EEA011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BC7641"/>
    <w:multiLevelType w:val="hybridMultilevel"/>
    <w:tmpl w:val="E52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A4CA3"/>
    <w:multiLevelType w:val="hybridMultilevel"/>
    <w:tmpl w:val="8C9CA26C"/>
    <w:lvl w:ilvl="0" w:tplc="DEEEDA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BE618E1"/>
    <w:multiLevelType w:val="hybridMultilevel"/>
    <w:tmpl w:val="5B123C24"/>
    <w:lvl w:ilvl="0" w:tplc="A7E445DC">
      <w:start w:val="1"/>
      <w:numFmt w:val="bullet"/>
      <w:lvlText w:val="•"/>
      <w:lvlJc w:val="left"/>
      <w:pPr>
        <w:tabs>
          <w:tab w:val="num" w:pos="720"/>
        </w:tabs>
        <w:ind w:left="720" w:hanging="360"/>
      </w:pPr>
      <w:rPr>
        <w:rFonts w:ascii="Arial" w:hAnsi="Arial" w:hint="default"/>
      </w:rPr>
    </w:lvl>
    <w:lvl w:ilvl="1" w:tplc="96829056" w:tentative="1">
      <w:start w:val="1"/>
      <w:numFmt w:val="bullet"/>
      <w:lvlText w:val="•"/>
      <w:lvlJc w:val="left"/>
      <w:pPr>
        <w:tabs>
          <w:tab w:val="num" w:pos="1440"/>
        </w:tabs>
        <w:ind w:left="1440" w:hanging="360"/>
      </w:pPr>
      <w:rPr>
        <w:rFonts w:ascii="Arial" w:hAnsi="Arial" w:hint="default"/>
      </w:rPr>
    </w:lvl>
    <w:lvl w:ilvl="2" w:tplc="A1BAF54A" w:tentative="1">
      <w:start w:val="1"/>
      <w:numFmt w:val="bullet"/>
      <w:lvlText w:val="•"/>
      <w:lvlJc w:val="left"/>
      <w:pPr>
        <w:tabs>
          <w:tab w:val="num" w:pos="2160"/>
        </w:tabs>
        <w:ind w:left="2160" w:hanging="360"/>
      </w:pPr>
      <w:rPr>
        <w:rFonts w:ascii="Arial" w:hAnsi="Arial" w:hint="default"/>
      </w:rPr>
    </w:lvl>
    <w:lvl w:ilvl="3" w:tplc="CB806A98" w:tentative="1">
      <w:start w:val="1"/>
      <w:numFmt w:val="bullet"/>
      <w:lvlText w:val="•"/>
      <w:lvlJc w:val="left"/>
      <w:pPr>
        <w:tabs>
          <w:tab w:val="num" w:pos="2880"/>
        </w:tabs>
        <w:ind w:left="2880" w:hanging="360"/>
      </w:pPr>
      <w:rPr>
        <w:rFonts w:ascii="Arial" w:hAnsi="Arial" w:hint="default"/>
      </w:rPr>
    </w:lvl>
    <w:lvl w:ilvl="4" w:tplc="B3206E9A" w:tentative="1">
      <w:start w:val="1"/>
      <w:numFmt w:val="bullet"/>
      <w:lvlText w:val="•"/>
      <w:lvlJc w:val="left"/>
      <w:pPr>
        <w:tabs>
          <w:tab w:val="num" w:pos="3600"/>
        </w:tabs>
        <w:ind w:left="3600" w:hanging="360"/>
      </w:pPr>
      <w:rPr>
        <w:rFonts w:ascii="Arial" w:hAnsi="Arial" w:hint="default"/>
      </w:rPr>
    </w:lvl>
    <w:lvl w:ilvl="5" w:tplc="82E04508" w:tentative="1">
      <w:start w:val="1"/>
      <w:numFmt w:val="bullet"/>
      <w:lvlText w:val="•"/>
      <w:lvlJc w:val="left"/>
      <w:pPr>
        <w:tabs>
          <w:tab w:val="num" w:pos="4320"/>
        </w:tabs>
        <w:ind w:left="4320" w:hanging="360"/>
      </w:pPr>
      <w:rPr>
        <w:rFonts w:ascii="Arial" w:hAnsi="Arial" w:hint="default"/>
      </w:rPr>
    </w:lvl>
    <w:lvl w:ilvl="6" w:tplc="9158589A" w:tentative="1">
      <w:start w:val="1"/>
      <w:numFmt w:val="bullet"/>
      <w:lvlText w:val="•"/>
      <w:lvlJc w:val="left"/>
      <w:pPr>
        <w:tabs>
          <w:tab w:val="num" w:pos="5040"/>
        </w:tabs>
        <w:ind w:left="5040" w:hanging="360"/>
      </w:pPr>
      <w:rPr>
        <w:rFonts w:ascii="Arial" w:hAnsi="Arial" w:hint="default"/>
      </w:rPr>
    </w:lvl>
    <w:lvl w:ilvl="7" w:tplc="720A8D0A" w:tentative="1">
      <w:start w:val="1"/>
      <w:numFmt w:val="bullet"/>
      <w:lvlText w:val="•"/>
      <w:lvlJc w:val="left"/>
      <w:pPr>
        <w:tabs>
          <w:tab w:val="num" w:pos="5760"/>
        </w:tabs>
        <w:ind w:left="5760" w:hanging="360"/>
      </w:pPr>
      <w:rPr>
        <w:rFonts w:ascii="Arial" w:hAnsi="Arial" w:hint="default"/>
      </w:rPr>
    </w:lvl>
    <w:lvl w:ilvl="8" w:tplc="4DD693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D7887"/>
    <w:multiLevelType w:val="hybridMultilevel"/>
    <w:tmpl w:val="25C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2"/>
    <w:rsid w:val="001B3D75"/>
    <w:rsid w:val="00264410"/>
    <w:rsid w:val="00323582"/>
    <w:rsid w:val="00330CB5"/>
    <w:rsid w:val="00362D27"/>
    <w:rsid w:val="003F2B06"/>
    <w:rsid w:val="00500810"/>
    <w:rsid w:val="0052206B"/>
    <w:rsid w:val="0052555B"/>
    <w:rsid w:val="00594A22"/>
    <w:rsid w:val="005C4416"/>
    <w:rsid w:val="006620ED"/>
    <w:rsid w:val="006840BD"/>
    <w:rsid w:val="006F17B1"/>
    <w:rsid w:val="007F79B0"/>
    <w:rsid w:val="008123E7"/>
    <w:rsid w:val="00875044"/>
    <w:rsid w:val="008C5FAE"/>
    <w:rsid w:val="0090560F"/>
    <w:rsid w:val="00982367"/>
    <w:rsid w:val="009C57B0"/>
    <w:rsid w:val="009D5547"/>
    <w:rsid w:val="00A8667A"/>
    <w:rsid w:val="00B012BE"/>
    <w:rsid w:val="00B6230D"/>
    <w:rsid w:val="00BF7851"/>
    <w:rsid w:val="00C67864"/>
    <w:rsid w:val="00D8408F"/>
    <w:rsid w:val="00DE7154"/>
    <w:rsid w:val="00E81D6D"/>
    <w:rsid w:val="00F50DE0"/>
    <w:rsid w:val="00F7451E"/>
    <w:rsid w:val="00F7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FA4C9-1D6B-4FA3-9D9B-037F502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B1"/>
    <w:pPr>
      <w:ind w:left="720"/>
      <w:contextualSpacing/>
    </w:pPr>
  </w:style>
  <w:style w:type="table" w:styleId="TableGrid">
    <w:name w:val="Table Grid"/>
    <w:basedOn w:val="TableNormal"/>
    <w:uiPriority w:val="39"/>
    <w:rsid w:val="0081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CB5"/>
    <w:rPr>
      <w:color w:val="0563C1" w:themeColor="hyperlink"/>
      <w:u w:val="single"/>
    </w:rPr>
  </w:style>
  <w:style w:type="paragraph" w:styleId="Footer">
    <w:name w:val="footer"/>
    <w:basedOn w:val="Normal"/>
    <w:link w:val="FooterChar"/>
    <w:uiPriority w:val="99"/>
    <w:unhideWhenUsed/>
    <w:rsid w:val="00F5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E0"/>
  </w:style>
  <w:style w:type="paragraph" w:styleId="Header">
    <w:name w:val="header"/>
    <w:basedOn w:val="Normal"/>
    <w:link w:val="HeaderChar"/>
    <w:uiPriority w:val="99"/>
    <w:unhideWhenUsed/>
    <w:rsid w:val="00F5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810">
      <w:bodyDiv w:val="1"/>
      <w:marLeft w:val="0"/>
      <w:marRight w:val="0"/>
      <w:marTop w:val="0"/>
      <w:marBottom w:val="0"/>
      <w:divBdr>
        <w:top w:val="none" w:sz="0" w:space="0" w:color="auto"/>
        <w:left w:val="none" w:sz="0" w:space="0" w:color="auto"/>
        <w:bottom w:val="none" w:sz="0" w:space="0" w:color="auto"/>
        <w:right w:val="none" w:sz="0" w:space="0" w:color="auto"/>
      </w:divBdr>
    </w:div>
    <w:div w:id="931888620">
      <w:bodyDiv w:val="1"/>
      <w:marLeft w:val="0"/>
      <w:marRight w:val="0"/>
      <w:marTop w:val="0"/>
      <w:marBottom w:val="0"/>
      <w:divBdr>
        <w:top w:val="none" w:sz="0" w:space="0" w:color="auto"/>
        <w:left w:val="none" w:sz="0" w:space="0" w:color="auto"/>
        <w:bottom w:val="none" w:sz="0" w:space="0" w:color="auto"/>
        <w:right w:val="none" w:sz="0" w:space="0" w:color="auto"/>
      </w:divBdr>
      <w:divsChild>
        <w:div w:id="531458103">
          <w:marLeft w:val="547"/>
          <w:marRight w:val="0"/>
          <w:marTop w:val="0"/>
          <w:marBottom w:val="0"/>
          <w:divBdr>
            <w:top w:val="none" w:sz="0" w:space="0" w:color="auto"/>
            <w:left w:val="none" w:sz="0" w:space="0" w:color="auto"/>
            <w:bottom w:val="none" w:sz="0" w:space="0" w:color="auto"/>
            <w:right w:val="none" w:sz="0" w:space="0" w:color="auto"/>
          </w:divBdr>
        </w:div>
      </w:divsChild>
    </w:div>
    <w:div w:id="1574663111">
      <w:bodyDiv w:val="1"/>
      <w:marLeft w:val="0"/>
      <w:marRight w:val="0"/>
      <w:marTop w:val="0"/>
      <w:marBottom w:val="0"/>
      <w:divBdr>
        <w:top w:val="none" w:sz="0" w:space="0" w:color="auto"/>
        <w:left w:val="none" w:sz="0" w:space="0" w:color="auto"/>
        <w:bottom w:val="none" w:sz="0" w:space="0" w:color="auto"/>
        <w:right w:val="none" w:sz="0" w:space="0" w:color="auto"/>
      </w:divBdr>
      <w:divsChild>
        <w:div w:id="1129863774">
          <w:marLeft w:val="547"/>
          <w:marRight w:val="0"/>
          <w:marTop w:val="0"/>
          <w:marBottom w:val="0"/>
          <w:divBdr>
            <w:top w:val="none" w:sz="0" w:space="0" w:color="auto"/>
            <w:left w:val="none" w:sz="0" w:space="0" w:color="auto"/>
            <w:bottom w:val="none" w:sz="0" w:space="0" w:color="auto"/>
            <w:right w:val="none" w:sz="0" w:space="0" w:color="auto"/>
          </w:divBdr>
        </w:div>
      </w:divsChild>
    </w:div>
    <w:div w:id="1683629240">
      <w:bodyDiv w:val="1"/>
      <w:marLeft w:val="0"/>
      <w:marRight w:val="0"/>
      <w:marTop w:val="0"/>
      <w:marBottom w:val="0"/>
      <w:divBdr>
        <w:top w:val="none" w:sz="0" w:space="0" w:color="auto"/>
        <w:left w:val="none" w:sz="0" w:space="0" w:color="auto"/>
        <w:bottom w:val="none" w:sz="0" w:space="0" w:color="auto"/>
        <w:right w:val="none" w:sz="0" w:space="0" w:color="auto"/>
      </w:divBdr>
    </w:div>
    <w:div w:id="1688601666">
      <w:bodyDiv w:val="1"/>
      <w:marLeft w:val="0"/>
      <w:marRight w:val="0"/>
      <w:marTop w:val="0"/>
      <w:marBottom w:val="0"/>
      <w:divBdr>
        <w:top w:val="none" w:sz="0" w:space="0" w:color="auto"/>
        <w:left w:val="none" w:sz="0" w:space="0" w:color="auto"/>
        <w:bottom w:val="none" w:sz="0" w:space="0" w:color="auto"/>
        <w:right w:val="none" w:sz="0" w:space="0" w:color="auto"/>
      </w:divBdr>
    </w:div>
    <w:div w:id="21157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ell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facebook.com/IWell-107756454714838/" TargetMode="External"/><Relationship Id="rId4" Type="http://schemas.openxmlformats.org/officeDocument/2006/relationships/webSettings" Target="webSettings.xml"/><Relationship Id="rId9" Type="http://schemas.openxmlformats.org/officeDocument/2006/relationships/hyperlink" Target="https://www.facebook.com/IWell-10775645471483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Xeni</dc:creator>
  <cp:keywords/>
  <dc:description/>
  <cp:lastModifiedBy>Elena Xeni</cp:lastModifiedBy>
  <cp:revision>6</cp:revision>
  <dcterms:created xsi:type="dcterms:W3CDTF">2022-03-28T19:32:00Z</dcterms:created>
  <dcterms:modified xsi:type="dcterms:W3CDTF">2022-03-29T02:24:00Z</dcterms:modified>
</cp:coreProperties>
</file>