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E7" w:rsidRPr="00F50DE0" w:rsidRDefault="008123E7" w:rsidP="0000738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F50DE0">
        <w:rPr>
          <w:rFonts w:asciiTheme="majorHAnsi" w:hAnsiTheme="majorHAnsi" w:cstheme="majorHAnsi"/>
          <w:b/>
          <w:bCs/>
          <w:sz w:val="32"/>
          <w:szCs w:val="32"/>
        </w:rPr>
        <w:t xml:space="preserve">iWell – </w:t>
      </w:r>
      <w:r w:rsidR="0000738D" w:rsidRPr="0000738D">
        <w:rPr>
          <w:rFonts w:asciiTheme="majorHAnsi" w:hAnsiTheme="majorHAnsi" w:cstheme="majorHAnsi"/>
          <w:b/>
          <w:bCs/>
          <w:sz w:val="32"/>
          <w:szCs w:val="32"/>
        </w:rPr>
        <w:t>Подобряване на уменията в областта на дигиталните технологии и социалното благосъстояние</w:t>
      </w:r>
      <w:r w:rsidR="0000738D">
        <w:rPr>
          <w:rFonts w:asciiTheme="majorHAnsi" w:hAnsiTheme="majorHAnsi" w:cstheme="majorHAnsi"/>
          <w:b/>
          <w:bCs/>
          <w:sz w:val="32"/>
          <w:szCs w:val="32"/>
          <w:lang w:val="bg-BG"/>
        </w:rPr>
        <w:t xml:space="preserve"> </w:t>
      </w:r>
      <w:r w:rsidR="0000738D" w:rsidRPr="0000738D">
        <w:rPr>
          <w:rFonts w:asciiTheme="majorHAnsi" w:hAnsiTheme="majorHAnsi" w:cstheme="majorHAnsi"/>
          <w:b/>
          <w:bCs/>
          <w:sz w:val="32"/>
          <w:szCs w:val="32"/>
        </w:rPr>
        <w:t>в училищата</w:t>
      </w:r>
    </w:p>
    <w:p w:rsidR="00F50DE0" w:rsidRPr="00F50DE0" w:rsidRDefault="00F50DE0" w:rsidP="00F50DE0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F50DE0">
        <w:rPr>
          <w:rFonts w:asciiTheme="majorHAnsi" w:eastAsia="Calibri" w:hAnsiTheme="majorHAnsi" w:cstheme="majorHAnsi"/>
          <w:sz w:val="24"/>
          <w:szCs w:val="24"/>
          <w:lang w:val="en-GB"/>
        </w:rPr>
        <w:t>[</w:t>
      </w:r>
      <w:r w:rsidR="0000738D" w:rsidRPr="0000738D">
        <w:rPr>
          <w:rFonts w:asciiTheme="majorHAnsi" w:eastAsia="Calibri" w:hAnsiTheme="majorHAnsi" w:cstheme="majorHAnsi"/>
          <w:sz w:val="24"/>
          <w:szCs w:val="24"/>
          <w:lang w:val="en-GB"/>
        </w:rPr>
        <w:t>ПРОЕКТ №</w:t>
      </w:r>
      <w:r w:rsidRPr="00F50DE0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2020-1-BG01-KA201-079041]</w:t>
      </w:r>
    </w:p>
    <w:p w:rsidR="00F50DE0" w:rsidRPr="00F50DE0" w:rsidRDefault="00F50DE0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8123E7" w:rsidRPr="008123E7" w:rsidRDefault="008C3AFB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C3AFB">
        <w:rPr>
          <w:rFonts w:asciiTheme="majorHAnsi" w:hAnsiTheme="majorHAnsi" w:cstheme="majorHAnsi"/>
          <w:b/>
          <w:bCs/>
          <w:sz w:val="32"/>
          <w:szCs w:val="32"/>
        </w:rPr>
        <w:t>Информационен бюлетин</w:t>
      </w:r>
      <w:r w:rsidR="00264410">
        <w:rPr>
          <w:rFonts w:asciiTheme="majorHAnsi" w:hAnsiTheme="majorHAnsi" w:cstheme="majorHAnsi"/>
          <w:b/>
          <w:bCs/>
          <w:sz w:val="32"/>
          <w:szCs w:val="32"/>
        </w:rPr>
        <w:t xml:space="preserve"> 2</w:t>
      </w:r>
    </w:p>
    <w:p w:rsidR="008123E7" w:rsidRPr="00F50DE0" w:rsidRDefault="008123E7" w:rsidP="00F50DE0">
      <w:pPr>
        <w:spacing w:after="0" w:line="240" w:lineRule="auto"/>
        <w:rPr>
          <w:rFonts w:asciiTheme="majorHAnsi" w:hAnsiTheme="majorHAnsi" w:cstheme="majorHAnsi"/>
          <w:bCs/>
          <w:sz w:val="16"/>
          <w:szCs w:val="16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7560"/>
        <w:gridCol w:w="4230"/>
      </w:tblGrid>
      <w:tr w:rsidR="00B012BE" w:rsidRPr="008123E7" w:rsidTr="006840BD">
        <w:tc>
          <w:tcPr>
            <w:tcW w:w="7560" w:type="dxa"/>
            <w:vMerge w:val="restart"/>
          </w:tcPr>
          <w:p w:rsidR="00B012BE" w:rsidRPr="008C3AFB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iWell </w:t>
            </w:r>
            <w:r w:rsidR="008C3AF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– </w:t>
            </w:r>
            <w:r w:rsidR="008C3AFB" w:rsidRPr="008C3AFB">
              <w:rPr>
                <w:rFonts w:asciiTheme="majorHAnsi" w:hAnsiTheme="majorHAnsi" w:cstheme="majorHAnsi"/>
                <w:b/>
                <w:sz w:val="28"/>
                <w:szCs w:val="28"/>
              </w:rPr>
              <w:t>Учебна програма</w:t>
            </w:r>
          </w:p>
          <w:p w:rsidR="00B012BE" w:rsidRPr="00B012BE" w:rsidRDefault="008C3AFB" w:rsidP="003F2B06">
            <w:pPr>
              <w:autoSpaceDE w:val="0"/>
              <w:autoSpaceDN w:val="0"/>
              <w:adjustRightInd w:val="0"/>
              <w:rPr>
                <w:rFonts w:eastAsia="FreeSans" w:cstheme="minorHAnsi"/>
                <w:sz w:val="20"/>
                <w:szCs w:val="20"/>
              </w:rPr>
            </w:pPr>
            <w:r w:rsidRPr="008C3AFB">
              <w:rPr>
                <w:rFonts w:cstheme="minorHAnsi"/>
                <w:sz w:val="20"/>
                <w:szCs w:val="20"/>
              </w:rPr>
              <w:t>В началото на 2022 г. партньорите успяха да разработят учебната програма на проекта.</w:t>
            </w:r>
            <w:r w:rsidR="00B012BE" w:rsidRPr="00B012BE">
              <w:rPr>
                <w:rFonts w:cstheme="minorHAnsi"/>
                <w:sz w:val="20"/>
                <w:szCs w:val="20"/>
              </w:rPr>
              <w:t xml:space="preserve"> </w:t>
            </w:r>
            <w:r w:rsidRPr="008C3AFB">
              <w:rPr>
                <w:rFonts w:cstheme="minorHAnsi"/>
                <w:sz w:val="20"/>
                <w:szCs w:val="20"/>
              </w:rPr>
              <w:t xml:space="preserve">Под ръководството на KMOP, Гърция, в резултат на изследвания, проведени на национално и международно </w:t>
            </w:r>
            <w:r>
              <w:rPr>
                <w:rFonts w:cstheme="minorHAnsi"/>
                <w:sz w:val="20"/>
                <w:szCs w:val="20"/>
                <w:lang w:val="bg-BG"/>
              </w:rPr>
              <w:t>ниво</w:t>
            </w:r>
            <w:r w:rsidRPr="008C3AFB">
              <w:rPr>
                <w:rFonts w:cstheme="minorHAnsi"/>
                <w:sz w:val="20"/>
                <w:szCs w:val="20"/>
              </w:rPr>
              <w:t xml:space="preserve">, учебната програма </w:t>
            </w:r>
            <w:r w:rsidR="001D7188">
              <w:rPr>
                <w:rFonts w:cstheme="minorHAnsi"/>
                <w:sz w:val="20"/>
                <w:szCs w:val="20"/>
                <w:lang w:val="bg-BG"/>
              </w:rPr>
              <w:t xml:space="preserve">на </w:t>
            </w:r>
            <w:r w:rsidRPr="008C3AFB">
              <w:rPr>
                <w:rFonts w:cstheme="minorHAnsi"/>
                <w:sz w:val="20"/>
                <w:szCs w:val="20"/>
              </w:rPr>
              <w:t>iWell има за цел да подкрепи и изгради капацитета на преподавателите да се превърнат в "активни здравни агенти", които да насърчават здравната грамотност и социалното благополучие на своите ученици.</w:t>
            </w:r>
          </w:p>
          <w:p w:rsidR="00B012BE" w:rsidRPr="00B012BE" w:rsidRDefault="00B012BE" w:rsidP="00264410">
            <w:pPr>
              <w:rPr>
                <w:rFonts w:cstheme="minorHAnsi"/>
                <w:sz w:val="20"/>
                <w:szCs w:val="20"/>
              </w:rPr>
            </w:pPr>
          </w:p>
          <w:p w:rsidR="00B012BE" w:rsidRPr="00B012BE" w:rsidRDefault="008C3AFB" w:rsidP="00B012BE">
            <w:pPr>
              <w:ind w:hanging="2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C3AFB">
              <w:rPr>
                <w:rFonts w:cstheme="minorHAnsi"/>
                <w:sz w:val="20"/>
                <w:szCs w:val="20"/>
                <w:lang w:val="en-GB"/>
              </w:rPr>
              <w:t>Учебната програма е подходяща за преподаватели, които преподават на ученици на възраст от 6 до 12 години и се основава на най-новите, най-ефективните и иновативни практики на преподаване и образователни подходи, включително инструменти на ИКТ.</w:t>
            </w:r>
            <w:r w:rsidR="00B012BE" w:rsidRPr="00B012B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F661E" w:rsidRPr="00CF661E">
              <w:rPr>
                <w:rFonts w:cstheme="minorHAnsi"/>
                <w:sz w:val="20"/>
                <w:szCs w:val="20"/>
                <w:lang w:val="en-GB"/>
              </w:rPr>
              <w:t>Т</w:t>
            </w:r>
            <w:r w:rsidR="00CF661E">
              <w:rPr>
                <w:rFonts w:cstheme="minorHAnsi"/>
                <w:sz w:val="20"/>
                <w:szCs w:val="20"/>
                <w:lang w:val="bg-BG"/>
              </w:rPr>
              <w:t>я</w:t>
            </w:r>
            <w:r w:rsidR="00CF661E" w:rsidRPr="00CF661E">
              <w:rPr>
                <w:rFonts w:cstheme="minorHAnsi"/>
                <w:sz w:val="20"/>
                <w:szCs w:val="20"/>
                <w:lang w:val="en-GB"/>
              </w:rPr>
              <w:t xml:space="preserve"> включва съдържанието, разработено с цел да отговори на нуждите на учителите в началното образование, използвайки подхода "здравословно образование, основано на умения", като им предоставя необходимите умения за подобряване на ключовите житейски умения на учениците по отношение на вземането на здравословни и информирани решения, когато са онлайн.</w:t>
            </w:r>
            <w:r w:rsidR="00CF661E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F661E" w:rsidRPr="00CF661E">
              <w:rPr>
                <w:rFonts w:cstheme="minorHAnsi"/>
                <w:sz w:val="20"/>
                <w:szCs w:val="20"/>
                <w:lang w:val="en-GB"/>
              </w:rPr>
              <w:t>След определянето на потребностите на педагозите от обучение и учебни програми чрез въпросници и фокус групи, проведени в пет държави партньори, основните теми, които се очертаха, бяха емоционалното, социалното и дигиталното благополучие, както и свързаните с тях подтеми.</w:t>
            </w:r>
            <w:r w:rsidR="00B012BE" w:rsidRPr="00B012B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8253C" w:rsidRPr="00A8253C">
              <w:rPr>
                <w:rFonts w:cstheme="minorHAnsi"/>
                <w:sz w:val="20"/>
                <w:szCs w:val="20"/>
                <w:lang w:val="en-GB"/>
              </w:rPr>
              <w:t>Така материалът включва следните три модула, всеки от които включва три взаимосвързани плана за уроци:</w:t>
            </w:r>
            <w:r w:rsidR="00B012B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B012BE" w:rsidRPr="00B012BE" w:rsidRDefault="00D23106" w:rsidP="004A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D23106">
              <w:rPr>
                <w:rFonts w:cstheme="minorHAnsi"/>
                <w:sz w:val="20"/>
                <w:szCs w:val="20"/>
                <w:lang w:val="en-GB"/>
              </w:rPr>
              <w:t>Модул 1: Емоционално благо</w:t>
            </w:r>
            <w:r>
              <w:rPr>
                <w:rFonts w:cstheme="minorHAnsi"/>
                <w:sz w:val="20"/>
                <w:szCs w:val="20"/>
                <w:lang w:val="bg-BG"/>
              </w:rPr>
              <w:t>състояние</w:t>
            </w:r>
            <w:r w:rsidRPr="00D23106">
              <w:rPr>
                <w:rFonts w:cstheme="minorHAnsi"/>
                <w:sz w:val="20"/>
                <w:szCs w:val="20"/>
                <w:lang w:val="en-GB"/>
              </w:rPr>
              <w:t xml:space="preserve">: Регулиране на емоциите и устойчивост, </w:t>
            </w:r>
            <w:r>
              <w:rPr>
                <w:rFonts w:cstheme="minorHAnsi"/>
                <w:sz w:val="20"/>
                <w:szCs w:val="20"/>
                <w:lang w:val="bg-BG"/>
              </w:rPr>
              <w:t>С</w:t>
            </w:r>
            <w:r w:rsidRPr="00D23106">
              <w:rPr>
                <w:rFonts w:cstheme="minorHAnsi"/>
                <w:sz w:val="20"/>
                <w:szCs w:val="20"/>
                <w:lang w:val="en-GB"/>
              </w:rPr>
              <w:t>амо</w:t>
            </w:r>
            <w:r>
              <w:rPr>
                <w:rFonts w:cstheme="minorHAnsi"/>
                <w:sz w:val="20"/>
                <w:szCs w:val="20"/>
                <w:lang w:val="bg-BG"/>
              </w:rPr>
              <w:t xml:space="preserve">чувствие </w:t>
            </w:r>
            <w:r w:rsidRPr="00D23106">
              <w:rPr>
                <w:rFonts w:cstheme="minorHAnsi"/>
                <w:sz w:val="20"/>
                <w:szCs w:val="20"/>
                <w:lang w:val="en-GB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bg-BG"/>
              </w:rPr>
              <w:t>У</w:t>
            </w:r>
            <w:r w:rsidRPr="00D23106">
              <w:rPr>
                <w:rFonts w:cstheme="minorHAnsi"/>
                <w:sz w:val="20"/>
                <w:szCs w:val="20"/>
                <w:lang w:val="en-GB"/>
              </w:rPr>
              <w:t xml:space="preserve">сещане за </w:t>
            </w:r>
            <w:r>
              <w:rPr>
                <w:rFonts w:cstheme="minorHAnsi"/>
                <w:sz w:val="20"/>
                <w:szCs w:val="20"/>
                <w:lang w:val="bg-BG"/>
              </w:rPr>
              <w:t xml:space="preserve">призвание и цели </w:t>
            </w:r>
          </w:p>
          <w:p w:rsidR="00B012BE" w:rsidRPr="00B012BE" w:rsidRDefault="00D23106" w:rsidP="004A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D23106">
              <w:rPr>
                <w:rFonts w:cstheme="minorHAnsi"/>
                <w:sz w:val="20"/>
                <w:szCs w:val="20"/>
                <w:lang w:val="bg-BG"/>
              </w:rPr>
              <w:t>Модул</w:t>
            </w:r>
            <w:r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Pr="00D23106">
              <w:rPr>
                <w:rFonts w:cstheme="minorHAnsi"/>
                <w:sz w:val="20"/>
                <w:szCs w:val="20"/>
                <w:lang w:val="bg-BG"/>
              </w:rPr>
              <w:t>2: Социално благо</w:t>
            </w:r>
            <w:r>
              <w:rPr>
                <w:rFonts w:cstheme="minorHAnsi"/>
                <w:sz w:val="20"/>
                <w:szCs w:val="20"/>
                <w:lang w:val="bg-BG"/>
              </w:rPr>
              <w:t>състояние</w:t>
            </w:r>
            <w:r w:rsidRPr="00D23106">
              <w:rPr>
                <w:rFonts w:cstheme="minorHAnsi"/>
                <w:sz w:val="20"/>
                <w:szCs w:val="20"/>
                <w:lang w:val="bg-BG"/>
              </w:rPr>
              <w:t xml:space="preserve">: Умения за междуличностно общуване, </w:t>
            </w:r>
            <w:r>
              <w:rPr>
                <w:rFonts w:cstheme="minorHAnsi"/>
                <w:sz w:val="20"/>
                <w:szCs w:val="20"/>
                <w:lang w:val="bg-BG"/>
              </w:rPr>
              <w:t>Разноо</w:t>
            </w:r>
            <w:r w:rsidRPr="00D23106">
              <w:rPr>
                <w:rFonts w:cstheme="minorHAnsi"/>
                <w:sz w:val="20"/>
                <w:szCs w:val="20"/>
                <w:lang w:val="bg-BG"/>
              </w:rPr>
              <w:t xml:space="preserve">бразие и здравословни взаимоотношения и </w:t>
            </w:r>
            <w:r>
              <w:rPr>
                <w:rFonts w:cstheme="minorHAnsi"/>
                <w:sz w:val="20"/>
                <w:szCs w:val="20"/>
                <w:lang w:val="bg-BG"/>
              </w:rPr>
              <w:t>Н</w:t>
            </w:r>
            <w:r w:rsidRPr="00D23106">
              <w:rPr>
                <w:rFonts w:cstheme="minorHAnsi"/>
                <w:sz w:val="20"/>
                <w:szCs w:val="20"/>
                <w:lang w:val="bg-BG"/>
              </w:rPr>
              <w:t>арушения и граници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B012BE" w:rsidRPr="00B012BE" w:rsidRDefault="00D23106" w:rsidP="004A0F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D23106">
              <w:rPr>
                <w:rFonts w:cstheme="minorHAnsi"/>
                <w:sz w:val="20"/>
                <w:szCs w:val="20"/>
                <w:lang w:val="en-GB"/>
              </w:rPr>
              <w:t xml:space="preserve">Модул 3: Дигитално благосъстояние: Опасности и рискове онлайн, </w:t>
            </w:r>
            <w:r w:rsidR="00B261CA">
              <w:rPr>
                <w:rFonts w:cstheme="minorHAnsi"/>
                <w:sz w:val="20"/>
                <w:szCs w:val="20"/>
                <w:lang w:val="bg-BG"/>
              </w:rPr>
              <w:t>П</w:t>
            </w:r>
            <w:r w:rsidRPr="00D23106">
              <w:rPr>
                <w:rFonts w:cstheme="minorHAnsi"/>
                <w:sz w:val="20"/>
                <w:szCs w:val="20"/>
                <w:lang w:val="en-GB"/>
              </w:rPr>
              <w:t xml:space="preserve">редприемане на действия и </w:t>
            </w:r>
            <w:r w:rsidR="00B261CA">
              <w:rPr>
                <w:rFonts w:cstheme="minorHAnsi"/>
                <w:sz w:val="20"/>
                <w:szCs w:val="20"/>
                <w:lang w:val="bg-BG"/>
              </w:rPr>
              <w:t>З</w:t>
            </w:r>
            <w:r w:rsidRPr="00D23106">
              <w:rPr>
                <w:rFonts w:cstheme="minorHAnsi"/>
                <w:sz w:val="20"/>
                <w:szCs w:val="20"/>
                <w:lang w:val="en-GB"/>
              </w:rPr>
              <w:t>латни правила за здравословен дигитален живот</w:t>
            </w:r>
            <w:r w:rsidR="00B261CA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B012BE" w:rsidRPr="00B012B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B012BE" w:rsidRDefault="00B012BE" w:rsidP="00B012BE">
            <w:pPr>
              <w:ind w:hanging="2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B012BE" w:rsidRDefault="00B261CA" w:rsidP="00472AE9">
            <w:pPr>
              <w:ind w:hanging="2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B261CA">
              <w:rPr>
                <w:rFonts w:cstheme="minorHAnsi"/>
                <w:sz w:val="20"/>
                <w:szCs w:val="20"/>
                <w:lang w:val="en-GB"/>
              </w:rPr>
              <w:t>Всеки урок включва три учебни дейности и трае около 45 минути. Така всеки модул съдържа общо 9 дейности по нетрадиционен дидактически метод на преподаване.</w:t>
            </w:r>
            <w:r w:rsidR="00472AE9">
              <w:t xml:space="preserve"> </w:t>
            </w:r>
            <w:r w:rsidR="00472AE9" w:rsidRPr="00472AE9">
              <w:rPr>
                <w:rFonts w:cstheme="minorHAnsi"/>
                <w:sz w:val="20"/>
                <w:szCs w:val="20"/>
                <w:lang w:val="en-GB"/>
              </w:rPr>
              <w:t xml:space="preserve">Тъй като проектът има за цел да подпомогне преподавателите в процеса на превръщането им в "активни здравни агенти", свързаните с него материали за преподаване и учене се фокусират върху преподавателите, които развиват </w:t>
            </w:r>
            <w:r w:rsidR="00472AE9">
              <w:rPr>
                <w:rFonts w:cstheme="minorHAnsi"/>
                <w:sz w:val="20"/>
                <w:szCs w:val="20"/>
                <w:lang w:val="bg-BG"/>
              </w:rPr>
              <w:t>дигиталните</w:t>
            </w:r>
            <w:r w:rsidR="00472AE9" w:rsidRPr="00472AE9">
              <w:rPr>
                <w:rFonts w:cstheme="minorHAnsi"/>
                <w:sz w:val="20"/>
                <w:szCs w:val="20"/>
                <w:lang w:val="en-GB"/>
              </w:rPr>
              <w:t xml:space="preserve"> и житейските умения на учениците, като използват разнообразни методологии, като например ориентирани към учениците, основани на преживявания, сътрудничество и участие (напр</w:t>
            </w:r>
            <w:r w:rsidR="001D7188">
              <w:rPr>
                <w:rFonts w:cstheme="minorHAnsi"/>
                <w:sz w:val="20"/>
                <w:szCs w:val="20"/>
                <w:lang w:val="bg-BG"/>
              </w:rPr>
              <w:t>имер</w:t>
            </w:r>
            <w:r w:rsidR="00472AE9" w:rsidRPr="00472AE9">
              <w:rPr>
                <w:rFonts w:cstheme="minorHAnsi"/>
                <w:sz w:val="20"/>
                <w:szCs w:val="20"/>
                <w:lang w:val="en-GB"/>
              </w:rPr>
              <w:t xml:space="preserve"> ролеви игри, екипни игри, дискусии).</w:t>
            </w:r>
            <w:r w:rsidR="00472AE9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472AE9" w:rsidRPr="00472AE9">
              <w:rPr>
                <w:rFonts w:cstheme="minorHAnsi"/>
                <w:sz w:val="20"/>
                <w:szCs w:val="20"/>
                <w:lang w:val="en-GB"/>
              </w:rPr>
              <w:t xml:space="preserve">По този начин на учениците се дава възможност първо да практикуват, а след това да придобият знания, нагласи и умения, необходими за по-здравословен офлайн и </w:t>
            </w:r>
            <w:r w:rsidR="00472AE9">
              <w:rPr>
                <w:rFonts w:cstheme="minorHAnsi"/>
                <w:sz w:val="20"/>
                <w:szCs w:val="20"/>
                <w:lang w:val="bg-BG"/>
              </w:rPr>
              <w:t>дигитален</w:t>
            </w:r>
            <w:r w:rsidR="00472AE9" w:rsidRPr="00472AE9">
              <w:rPr>
                <w:rFonts w:cstheme="minorHAnsi"/>
                <w:sz w:val="20"/>
                <w:szCs w:val="20"/>
                <w:lang w:val="en-GB"/>
              </w:rPr>
              <w:t xml:space="preserve"> живот.</w:t>
            </w:r>
          </w:p>
          <w:p w:rsidR="0004465E" w:rsidRPr="00B012BE" w:rsidRDefault="0004465E" w:rsidP="00472AE9">
            <w:pPr>
              <w:ind w:hanging="2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B012BE" w:rsidRDefault="003A45EE" w:rsidP="001D7188">
            <w:pPr>
              <w:ind w:hanging="2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45EE">
              <w:rPr>
                <w:rFonts w:cstheme="minorHAnsi"/>
                <w:sz w:val="20"/>
                <w:szCs w:val="20"/>
                <w:lang w:val="bg-BG"/>
              </w:rPr>
              <w:t xml:space="preserve">Основните дигитални и житейски умения, насърчавани във всеки модул, включват самоувереност, вземане на решения и социални умения (например активно слушане, ефективна комуникация, споделяне, сътрудничество, емпатия, уважение, решаване на конфликти), като се насърчават и други важни умения (например творческо </w:t>
            </w:r>
            <w:r w:rsidRPr="003A45EE">
              <w:rPr>
                <w:rFonts w:cstheme="minorHAnsi"/>
                <w:sz w:val="20"/>
                <w:szCs w:val="20"/>
                <w:lang w:val="bg-BG"/>
              </w:rPr>
              <w:lastRenderedPageBreak/>
              <w:t>мислене, критично мислене, решаване на проблеми и др.).</w:t>
            </w:r>
            <w:r w:rsidR="00726DC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26DCE" w:rsidRPr="00726DCE">
              <w:rPr>
                <w:rFonts w:cstheme="minorHAnsi"/>
                <w:sz w:val="20"/>
                <w:szCs w:val="20"/>
                <w:lang w:val="en-GB"/>
              </w:rPr>
              <w:t>Освен това, при условие</w:t>
            </w:r>
            <w:r w:rsidR="001D7188">
              <w:rPr>
                <w:rFonts w:cstheme="minorHAnsi"/>
                <w:sz w:val="20"/>
                <w:szCs w:val="20"/>
                <w:lang w:val="bg-BG"/>
              </w:rPr>
              <w:t>,</w:t>
            </w:r>
            <w:r w:rsidR="00726DCE" w:rsidRPr="00726DCE">
              <w:rPr>
                <w:rFonts w:cstheme="minorHAnsi"/>
                <w:sz w:val="20"/>
                <w:szCs w:val="20"/>
                <w:lang w:val="en-GB"/>
              </w:rPr>
              <w:t xml:space="preserve"> че иновативният подход на iWell се състои, наред с другото, в интегрирането на нови подходи, като например методологии и инструменти на ИКТ, дейностите в голяма степен използват </w:t>
            </w:r>
            <w:r w:rsidR="001D7188">
              <w:rPr>
                <w:rFonts w:cstheme="minorHAnsi"/>
                <w:sz w:val="20"/>
                <w:szCs w:val="20"/>
                <w:lang w:val="bg-BG"/>
              </w:rPr>
              <w:t>дигитални</w:t>
            </w:r>
            <w:r w:rsidR="00726DCE" w:rsidRPr="00726DCE">
              <w:rPr>
                <w:rFonts w:cstheme="minorHAnsi"/>
                <w:sz w:val="20"/>
                <w:szCs w:val="20"/>
                <w:lang w:val="en-GB"/>
              </w:rPr>
              <w:t xml:space="preserve"> инструменти и ресурси (напр</w:t>
            </w:r>
            <w:r w:rsidR="001D7188">
              <w:rPr>
                <w:rFonts w:cstheme="minorHAnsi"/>
                <w:sz w:val="20"/>
                <w:szCs w:val="20"/>
                <w:lang w:val="bg-BG"/>
              </w:rPr>
              <w:t>имер</w:t>
            </w:r>
            <w:r w:rsidR="00726DCE" w:rsidRPr="00726DCE">
              <w:rPr>
                <w:rFonts w:cstheme="minorHAnsi"/>
                <w:sz w:val="20"/>
                <w:szCs w:val="20"/>
                <w:lang w:val="en-GB"/>
              </w:rPr>
              <w:t xml:space="preserve"> онлайн видеоклипове, уебсайтове и др.).</w:t>
            </w:r>
            <w:r w:rsidR="00726DCE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726DCE" w:rsidRPr="00726DCE">
              <w:rPr>
                <w:rFonts w:cstheme="minorHAnsi"/>
                <w:sz w:val="20"/>
                <w:szCs w:val="20"/>
                <w:lang w:val="en-GB"/>
              </w:rPr>
              <w:t xml:space="preserve">Накрая, но не на последно място, всеки модул включва оценка, която измерва постигането на целите на обучението от страна на учениците, но също така и качеството на материала по отношение на яснота, разпределение на времето, полезност и т.н. </w:t>
            </w:r>
            <w:r w:rsidR="00B012BE" w:rsidRPr="00B012B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30" w:type="dxa"/>
          </w:tcPr>
          <w:p w:rsidR="00B012BE" w:rsidRPr="00F50DE0" w:rsidRDefault="00FD63C9" w:rsidP="006840BD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lastRenderedPageBreak/>
              <w:t>В този брой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B012BE" w:rsidRDefault="00FD63C9" w:rsidP="00FD63C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63C9">
              <w:rPr>
                <w:rFonts w:asciiTheme="majorHAnsi" w:hAnsiTheme="majorHAnsi" w:cstheme="majorHAnsi"/>
                <w:sz w:val="20"/>
                <w:szCs w:val="20"/>
              </w:rPr>
              <w:t>Добре дошли във втория информационен бюлетин на iWell с актуална информация за работата и постиженията по проекта.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D63C9">
              <w:rPr>
                <w:rFonts w:asciiTheme="majorHAnsi" w:hAnsiTheme="majorHAnsi" w:cstheme="majorHAnsi"/>
                <w:sz w:val="20"/>
                <w:szCs w:val="20"/>
              </w:rPr>
              <w:t>В този брой ще бъдат споделени новини, свързани с учебната програма на iWell, както и актуална информация за останалите резултати от проекта.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2BE" w:rsidRPr="008123E7" w:rsidTr="006840BD">
        <w:tc>
          <w:tcPr>
            <w:tcW w:w="7560" w:type="dxa"/>
            <w:vMerge/>
          </w:tcPr>
          <w:p w:rsidR="00B012BE" w:rsidRPr="007F79B0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B012BE" w:rsidRPr="00F50DE0" w:rsidRDefault="00FD63C9" w:rsidP="006840BD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Следващи актуализации по iWell </w:t>
            </w:r>
          </w:p>
          <w:p w:rsidR="00B012BE" w:rsidRPr="00F50DE0" w:rsidRDefault="00FD63C9" w:rsidP="00FD63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D63C9">
              <w:rPr>
                <w:rFonts w:asciiTheme="majorHAnsi" w:hAnsiTheme="majorHAnsi" w:cstheme="majorHAnsi"/>
                <w:sz w:val="20"/>
                <w:szCs w:val="20"/>
              </w:rPr>
              <w:t>Освен разработването на учебната програма, тестването и оценяването</w:t>
            </w:r>
            <w:r w:rsidR="007B2ACA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,</w:t>
            </w:r>
            <w:r w:rsidRPr="00FD63C9">
              <w:rPr>
                <w:rFonts w:asciiTheme="majorHAnsi" w:hAnsiTheme="majorHAnsi" w:cstheme="majorHAnsi"/>
                <w:sz w:val="20"/>
                <w:szCs w:val="20"/>
              </w:rPr>
              <w:t xml:space="preserve"> консорциумът iWell успя да изготви мини-игрите (IO3), ресурсите за MOOC (IO4) и насоките за инструментариума с препоръки за политиката и практиката (IO5). </w:t>
            </w:r>
          </w:p>
        </w:tc>
      </w:tr>
      <w:tr w:rsidR="00B012BE" w:rsidRPr="001D7188" w:rsidTr="006840BD">
        <w:tc>
          <w:tcPr>
            <w:tcW w:w="7560" w:type="dxa"/>
            <w:vMerge/>
          </w:tcPr>
          <w:p w:rsidR="00B012BE" w:rsidRPr="003F2B06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B012BE" w:rsidRPr="00E104C1" w:rsidRDefault="00E104C1" w:rsidP="00E104C1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>П</w:t>
            </w:r>
            <w:r w:rsidRPr="00D52A6B">
              <w:rPr>
                <w:rFonts w:asciiTheme="majorHAnsi" w:hAnsiTheme="majorHAnsi" w:cstheme="majorHAnsi"/>
                <w:b/>
                <w:sz w:val="28"/>
                <w:szCs w:val="28"/>
              </w:rPr>
              <w:t>артньорство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в </w:t>
            </w:r>
            <w:r w:rsidRPr="00F50DE0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</w:t>
            </w:r>
          </w:p>
          <w:p w:rsidR="00B012BE" w:rsidRPr="00E104C1" w:rsidRDefault="00E104C1" w:rsidP="00750B9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E104C1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ФОНДАЦИЯ ИНСТИТУТ ЗА ТЕХНОЛОГИИ И РАЗВИТИЕ, БЪЛГАРИЯ (ръководител)</w:t>
            </w:r>
            <w:r w:rsidRPr="00E104C1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  </w:t>
            </w:r>
          </w:p>
          <w:p w:rsidR="00B012BE" w:rsidRPr="00F50DE0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CARDET – CENTRE FOR ADVANCEMENT OF RESEARCH AND DEVELOPMENT IN EDUCATIONAL TECHNOLOGY LTD, </w:t>
            </w:r>
            <w:r w:rsidR="000E46D6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КИПЪР</w:t>
            </w: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B012BE" w:rsidRPr="00F50DE0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The Rural Hub CLG, </w:t>
            </w:r>
            <w:r w:rsidR="000E46D6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ИРЛАНДИЯ</w:t>
            </w: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B012BE" w:rsidRPr="00F50DE0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CESIE, </w:t>
            </w:r>
            <w:r w:rsidR="000100EE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ИТАЛИЯ</w:t>
            </w: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B012BE" w:rsidRPr="00F50DE0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INNOVADE LI LTD, </w:t>
            </w:r>
            <w:r w:rsidR="000100EE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КИПЪР и </w:t>
            </w: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012BE" w:rsidRDefault="00B012BE" w:rsidP="005C441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F50DE0">
              <w:rPr>
                <w:rFonts w:asciiTheme="majorHAnsi" w:hAnsiTheme="majorHAnsi" w:cstheme="majorHAnsi"/>
                <w:sz w:val="20"/>
                <w:szCs w:val="20"/>
              </w:rPr>
              <w:t xml:space="preserve">KENTRO MERIMNAS OIKOGENEIAS KAI PAIDIOU, </w:t>
            </w:r>
            <w:r w:rsidR="000100EE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ГЪРЦИЯ </w:t>
            </w:r>
          </w:p>
          <w:p w:rsidR="00B012BE" w:rsidRPr="008123E7" w:rsidRDefault="00B012BE" w:rsidP="005008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012BE" w:rsidRPr="008123E7" w:rsidTr="006840BD">
        <w:tc>
          <w:tcPr>
            <w:tcW w:w="7560" w:type="dxa"/>
            <w:vMerge/>
          </w:tcPr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B012BE" w:rsidRDefault="006840BD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C738724" wp14:editId="77145DEC">
                  <wp:simplePos x="0" y="0"/>
                  <wp:positionH relativeFrom="page">
                    <wp:posOffset>686435</wp:posOffset>
                  </wp:positionH>
                  <wp:positionV relativeFrom="page">
                    <wp:posOffset>80645</wp:posOffset>
                  </wp:positionV>
                  <wp:extent cx="1264920" cy="109013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 document_cover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0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Pr="00F50DE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B012BE" w:rsidRPr="008123E7" w:rsidTr="006840BD">
        <w:tc>
          <w:tcPr>
            <w:tcW w:w="7560" w:type="dxa"/>
            <w:vMerge/>
          </w:tcPr>
          <w:p w:rsidR="00B012BE" w:rsidRPr="008123E7" w:rsidRDefault="00B012BE" w:rsidP="00F50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B012BE" w:rsidRPr="008123E7" w:rsidRDefault="000100EE" w:rsidP="00F50DE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>Бъдете на линия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bg-BG"/>
              </w:rPr>
              <w:t xml:space="preserve"> с</w:t>
            </w:r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012BE" w:rsidRPr="008123E7">
              <w:rPr>
                <w:rFonts w:asciiTheme="majorHAnsi" w:hAnsiTheme="majorHAnsi" w:cstheme="majorHAnsi"/>
                <w:b/>
                <w:sz w:val="24"/>
                <w:szCs w:val="24"/>
              </w:rPr>
              <w:t>iWell</w:t>
            </w:r>
          </w:p>
          <w:p w:rsidR="00B012BE" w:rsidRPr="005C4416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C44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iWell </w:t>
            </w:r>
            <w:r w:rsidR="000100EE">
              <w:rPr>
                <w:rFonts w:asciiTheme="majorHAnsi" w:hAnsiTheme="majorHAnsi" w:cstheme="majorHAnsi"/>
                <w:b/>
                <w:sz w:val="20"/>
                <w:szCs w:val="20"/>
                <w:lang w:val="bg-BG"/>
              </w:rPr>
              <w:t>уебсайт</w:t>
            </w:r>
          </w:p>
          <w:p w:rsidR="00B012BE" w:rsidRPr="005C4416" w:rsidRDefault="00BE7908" w:rsidP="00F50DE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hyperlink r:id="rId8" w:history="1">
              <w:r w:rsidR="00B012BE" w:rsidRPr="00A03008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lang w:val="en-GB"/>
                </w:rPr>
                <w:t>https://iwellproject.eu/</w:t>
              </w:r>
            </w:hyperlink>
          </w:p>
          <w:p w:rsidR="00B012BE" w:rsidRPr="005C4416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:rsidR="00B012BE" w:rsidRPr="003F2B06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2B0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iWell </w:t>
            </w:r>
            <w:r w:rsidR="000100EE">
              <w:rPr>
                <w:rFonts w:asciiTheme="majorHAnsi" w:hAnsiTheme="majorHAnsi" w:cstheme="majorHAnsi"/>
                <w:b/>
                <w:sz w:val="20"/>
                <w:szCs w:val="20"/>
                <w:lang w:val="bg-BG"/>
              </w:rPr>
              <w:t>Фейсбук</w:t>
            </w:r>
            <w:r w:rsidRPr="003F2B0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:rsidR="00B012BE" w:rsidRPr="00330CB5" w:rsidRDefault="00BE7908" w:rsidP="00F50DE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9" w:history="1">
              <w:r w:rsidR="00B012BE" w:rsidRPr="003F2B06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lang w:val="en-GB"/>
                </w:rPr>
                <w:t>https://www.facebook.com/IWell-107756454714838</w:t>
              </w:r>
            </w:hyperlink>
            <w:hyperlink r:id="rId10" w:history="1">
              <w:r w:rsidR="00B012BE" w:rsidRPr="003F2B06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lang w:val="en-GB"/>
                </w:rPr>
                <w:t>/</w:t>
              </w:r>
            </w:hyperlink>
          </w:p>
        </w:tc>
      </w:tr>
    </w:tbl>
    <w:p w:rsidR="00F50DE0" w:rsidRDefault="005C4416" w:rsidP="00F50DE0">
      <w:pPr>
        <w:spacing w:after="0" w:line="240" w:lineRule="auto"/>
      </w:pPr>
      <w:r w:rsidRPr="00832EAA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9EF4686" wp14:editId="0B713CE7">
            <wp:simplePos x="0" y="0"/>
            <wp:positionH relativeFrom="column">
              <wp:posOffset>-208915</wp:posOffset>
            </wp:positionH>
            <wp:positionV relativeFrom="paragraph">
              <wp:posOffset>97790</wp:posOffset>
            </wp:positionV>
            <wp:extent cx="1732915" cy="495300"/>
            <wp:effectExtent l="0" t="0" r="0" b="0"/>
            <wp:wrapTight wrapText="bothSides">
              <wp:wrapPolygon edited="0">
                <wp:start x="475" y="1662"/>
                <wp:lineTo x="475" y="18277"/>
                <wp:lineTo x="13297" y="19938"/>
                <wp:lineTo x="14247" y="19938"/>
                <wp:lineTo x="20896" y="18277"/>
                <wp:lineTo x="20658" y="11631"/>
                <wp:lineTo x="18521" y="4985"/>
                <wp:lineTo x="16384" y="1662"/>
                <wp:lineTo x="475" y="1662"/>
              </wp:wrapPolygon>
            </wp:wrapTight>
            <wp:docPr id="17" name="Picture 4" descr="C:\Users\Alex\Desktop\Loghi progetto\Erasmus+\eu_flag_co_funded_vect_pos_[cmyk]_right-[Convertito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lex\Desktop\Loghi progetto\Erasmus+\eu_flag_co_funded_vect_pos_[cmyk]_right-[Convertito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DE0" w:rsidRPr="00832EAA" w:rsidRDefault="00F50DE0" w:rsidP="00F50DE0">
      <w:pPr>
        <w:pStyle w:val="Footer"/>
        <w:ind w:left="2520"/>
        <w:rPr>
          <w:rFonts w:ascii="Arial Narrow" w:hAnsi="Arial Narrow"/>
          <w:sz w:val="18"/>
          <w:szCs w:val="18"/>
        </w:rPr>
      </w:pPr>
      <w:r w:rsidRPr="00832EAA">
        <w:rPr>
          <w:rFonts w:ascii="Arial Narrow" w:hAnsi="Arial Narrow"/>
          <w:color w:val="808080" w:themeColor="background1" w:themeShade="80"/>
          <w:sz w:val="18"/>
          <w:szCs w:val="18"/>
        </w:rPr>
        <w:t>The European Commission support for the production of this publication does not constitute an endorsement of the contents which reflects the views only of the authors, and the Com</w:t>
      </w:r>
      <w:r>
        <w:rPr>
          <w:rFonts w:ascii="Arial Narrow" w:hAnsi="Arial Narrow"/>
          <w:color w:val="808080" w:themeColor="background1" w:themeShade="80"/>
          <w:sz w:val="18"/>
          <w:szCs w:val="18"/>
        </w:rPr>
        <w:t>mission cannot be held responsi</w:t>
      </w:r>
      <w:r w:rsidRPr="00832EAA">
        <w:rPr>
          <w:rFonts w:ascii="Arial Narrow" w:hAnsi="Arial Narrow"/>
          <w:color w:val="808080" w:themeColor="background1" w:themeShade="80"/>
          <w:sz w:val="18"/>
          <w:szCs w:val="18"/>
        </w:rPr>
        <w:t>ble for any use which may be made of the information contained therein.</w:t>
      </w:r>
    </w:p>
    <w:p w:rsidR="008C5FAE" w:rsidRPr="008C5FAE" w:rsidRDefault="008C5FAE" w:rsidP="00F50DE0">
      <w:pPr>
        <w:spacing w:after="0" w:line="240" w:lineRule="auto"/>
        <w:rPr>
          <w:b/>
        </w:rPr>
      </w:pPr>
    </w:p>
    <w:sectPr w:rsidR="008C5FAE" w:rsidRPr="008C5FAE" w:rsidSect="006840BD">
      <w:headerReference w:type="default" r:id="rId12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08" w:rsidRDefault="00BE7908" w:rsidP="00F50DE0">
      <w:pPr>
        <w:spacing w:after="0" w:line="240" w:lineRule="auto"/>
      </w:pPr>
      <w:r>
        <w:separator/>
      </w:r>
    </w:p>
  </w:endnote>
  <w:endnote w:type="continuationSeparator" w:id="0">
    <w:p w:rsidR="00BE7908" w:rsidRDefault="00BE7908" w:rsidP="00F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08" w:rsidRDefault="00BE7908" w:rsidP="00F50DE0">
      <w:pPr>
        <w:spacing w:after="0" w:line="240" w:lineRule="auto"/>
      </w:pPr>
      <w:r>
        <w:separator/>
      </w:r>
    </w:p>
  </w:footnote>
  <w:footnote w:type="continuationSeparator" w:id="0">
    <w:p w:rsidR="00BE7908" w:rsidRDefault="00BE7908" w:rsidP="00F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E0" w:rsidRDefault="00F50DE0">
    <w:pPr>
      <w:pStyle w:val="Header"/>
    </w:pPr>
    <w:r w:rsidRPr="00F50DE0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CD0E6CA" wp14:editId="5532C5DF">
          <wp:simplePos x="0" y="0"/>
          <wp:positionH relativeFrom="column">
            <wp:posOffset>-822960</wp:posOffset>
          </wp:positionH>
          <wp:positionV relativeFrom="paragraph">
            <wp:posOffset>-281940</wp:posOffset>
          </wp:positionV>
          <wp:extent cx="7614285" cy="1150620"/>
          <wp:effectExtent l="0" t="0" r="571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6F"/>
    <w:multiLevelType w:val="hybridMultilevel"/>
    <w:tmpl w:val="2CEA8072"/>
    <w:lvl w:ilvl="0" w:tplc="B6CC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D75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13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0BF"/>
    <w:multiLevelType w:val="hybridMultilevel"/>
    <w:tmpl w:val="10B8B5B4"/>
    <w:lvl w:ilvl="0" w:tplc="45E2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6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CB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391739"/>
    <w:multiLevelType w:val="hybridMultilevel"/>
    <w:tmpl w:val="C3D8D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641"/>
    <w:multiLevelType w:val="hybridMultilevel"/>
    <w:tmpl w:val="E52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4CA3"/>
    <w:multiLevelType w:val="hybridMultilevel"/>
    <w:tmpl w:val="8C9CA26C"/>
    <w:lvl w:ilvl="0" w:tplc="DEEED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618E1"/>
    <w:multiLevelType w:val="hybridMultilevel"/>
    <w:tmpl w:val="5B123C24"/>
    <w:lvl w:ilvl="0" w:tplc="A7E4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9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0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2"/>
    <w:rsid w:val="0000738D"/>
    <w:rsid w:val="000100EE"/>
    <w:rsid w:val="0004465E"/>
    <w:rsid w:val="000E46D6"/>
    <w:rsid w:val="001B3D75"/>
    <w:rsid w:val="001D7188"/>
    <w:rsid w:val="00264410"/>
    <w:rsid w:val="00323582"/>
    <w:rsid w:val="00330CB5"/>
    <w:rsid w:val="00362D27"/>
    <w:rsid w:val="003A45EE"/>
    <w:rsid w:val="003F2B06"/>
    <w:rsid w:val="00472AE9"/>
    <w:rsid w:val="004A0F72"/>
    <w:rsid w:val="00500810"/>
    <w:rsid w:val="0050648E"/>
    <w:rsid w:val="00594A22"/>
    <w:rsid w:val="005C4416"/>
    <w:rsid w:val="006840BD"/>
    <w:rsid w:val="006F17B1"/>
    <w:rsid w:val="0071158C"/>
    <w:rsid w:val="00726DCE"/>
    <w:rsid w:val="007B2ACA"/>
    <w:rsid w:val="007D33B9"/>
    <w:rsid w:val="007F79B0"/>
    <w:rsid w:val="008123E7"/>
    <w:rsid w:val="00825D47"/>
    <w:rsid w:val="00875044"/>
    <w:rsid w:val="008C3AFB"/>
    <w:rsid w:val="008C5FAE"/>
    <w:rsid w:val="00982367"/>
    <w:rsid w:val="009C57B0"/>
    <w:rsid w:val="009D5547"/>
    <w:rsid w:val="00A8253C"/>
    <w:rsid w:val="00A8667A"/>
    <w:rsid w:val="00B012BE"/>
    <w:rsid w:val="00B261CA"/>
    <w:rsid w:val="00B6230D"/>
    <w:rsid w:val="00BE7908"/>
    <w:rsid w:val="00C67864"/>
    <w:rsid w:val="00CF661E"/>
    <w:rsid w:val="00D140AA"/>
    <w:rsid w:val="00D23106"/>
    <w:rsid w:val="00E104C1"/>
    <w:rsid w:val="00E81D6D"/>
    <w:rsid w:val="00F50DE0"/>
    <w:rsid w:val="00F74C5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A4C9-1D6B-4FA3-9D9B-037F502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B1"/>
    <w:pPr>
      <w:ind w:left="720"/>
      <w:contextualSpacing/>
    </w:pPr>
  </w:style>
  <w:style w:type="table" w:styleId="TableGrid">
    <w:name w:val="Table Grid"/>
    <w:basedOn w:val="TableNormal"/>
    <w:uiPriority w:val="39"/>
    <w:rsid w:val="0081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C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E0"/>
  </w:style>
  <w:style w:type="paragraph" w:styleId="Header">
    <w:name w:val="header"/>
    <w:basedOn w:val="Normal"/>
    <w:link w:val="Head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ellprojec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IWell-1077564547148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Well-10775645471483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Xeni</dc:creator>
  <cp:keywords/>
  <dc:description/>
  <cp:lastModifiedBy>Elena Xeni</cp:lastModifiedBy>
  <cp:revision>2</cp:revision>
  <dcterms:created xsi:type="dcterms:W3CDTF">2022-05-11T15:40:00Z</dcterms:created>
  <dcterms:modified xsi:type="dcterms:W3CDTF">2022-05-11T15:40:00Z</dcterms:modified>
</cp:coreProperties>
</file>